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Default="00BF1715" w:rsidP="007838F7">
      <w:pPr>
        <w:pBdr>
          <w:bottom w:val="single" w:sz="6" w:space="1" w:color="auto"/>
        </w:pBdr>
        <w:spacing w:before="120"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 pro výzkum, vývoj a inovace k Návrhu na </w:t>
      </w:r>
      <w:r w:rsidR="00A92BF6">
        <w:rPr>
          <w:rFonts w:ascii="Arial" w:hAnsi="Arial" w:cs="Arial"/>
          <w:b/>
          <w:color w:val="0070C0"/>
          <w:sz w:val="28"/>
          <w:szCs w:val="28"/>
        </w:rPr>
        <w:t>změnu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programu výzkumu, experimentálního vývoje a inovací „ERC CZ“</w:t>
      </w:r>
    </w:p>
    <w:p w:rsidR="00BF1715" w:rsidRPr="00B27405" w:rsidRDefault="00BF1715" w:rsidP="00CF0116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B27405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571676" w:rsidRDefault="00571676" w:rsidP="00CF0116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 xml:space="preserve">Návrh na </w:t>
      </w:r>
      <w:r w:rsidR="00A92BF6" w:rsidRPr="001E38C7">
        <w:rPr>
          <w:rFonts w:ascii="Arial" w:hAnsi="Arial" w:cs="Arial"/>
          <w:sz w:val="22"/>
          <w:szCs w:val="22"/>
        </w:rPr>
        <w:t>změnu</w:t>
      </w:r>
      <w:r w:rsidRPr="001E38C7">
        <w:rPr>
          <w:rFonts w:ascii="Arial" w:hAnsi="Arial" w:cs="Arial"/>
          <w:sz w:val="22"/>
          <w:szCs w:val="22"/>
        </w:rPr>
        <w:t xml:space="preserve"> programu na podporu výzkumu, experimentálního vývoje a</w:t>
      </w:r>
      <w:r w:rsidR="00CF0116" w:rsidRPr="001E38C7">
        <w:rPr>
          <w:rFonts w:ascii="Arial" w:hAnsi="Arial" w:cs="Arial"/>
          <w:sz w:val="22"/>
          <w:szCs w:val="22"/>
        </w:rPr>
        <w:t> </w:t>
      </w:r>
      <w:r w:rsidRPr="001E38C7">
        <w:rPr>
          <w:rFonts w:ascii="Arial" w:hAnsi="Arial" w:cs="Arial"/>
          <w:sz w:val="22"/>
          <w:szCs w:val="22"/>
        </w:rPr>
        <w:t>inovací „ERC CZ“ (dále jen „Program“) byl předložen Radě pro výzkum, vývoj a</w:t>
      </w:r>
      <w:r w:rsidR="00CF0116" w:rsidRPr="001E38C7">
        <w:rPr>
          <w:rFonts w:ascii="Arial" w:hAnsi="Arial" w:cs="Arial"/>
          <w:sz w:val="22"/>
          <w:szCs w:val="22"/>
          <w:lang w:val="en-US"/>
        </w:rPr>
        <w:t> </w:t>
      </w:r>
      <w:r w:rsidRPr="001E38C7">
        <w:rPr>
          <w:rFonts w:ascii="Arial" w:hAnsi="Arial" w:cs="Arial"/>
          <w:sz w:val="22"/>
          <w:szCs w:val="22"/>
        </w:rPr>
        <w:t xml:space="preserve"> inovace </w:t>
      </w:r>
      <w:r w:rsidR="00CF0116" w:rsidRPr="001E38C7">
        <w:rPr>
          <w:rFonts w:ascii="Arial" w:hAnsi="Arial" w:cs="Arial"/>
          <w:sz w:val="22"/>
          <w:szCs w:val="22"/>
        </w:rPr>
        <w:t xml:space="preserve">(dále jen „Rada“) </w:t>
      </w:r>
      <w:r w:rsidRPr="001E38C7">
        <w:rPr>
          <w:rFonts w:ascii="Arial" w:hAnsi="Arial" w:cs="Arial"/>
          <w:sz w:val="22"/>
          <w:szCs w:val="22"/>
        </w:rPr>
        <w:t xml:space="preserve">dopisem </w:t>
      </w:r>
      <w:r w:rsidR="00B27405" w:rsidRPr="001E38C7">
        <w:rPr>
          <w:rFonts w:ascii="Arial" w:hAnsi="Arial" w:cs="Arial"/>
          <w:sz w:val="22"/>
          <w:szCs w:val="22"/>
        </w:rPr>
        <w:t xml:space="preserve">ředitelky Odboru podpory vysokých škol a výzkumu </w:t>
      </w:r>
      <w:r w:rsidR="00A513E5">
        <w:rPr>
          <w:rFonts w:ascii="Arial" w:hAnsi="Arial" w:cs="Arial"/>
          <w:sz w:val="22"/>
          <w:szCs w:val="22"/>
        </w:rPr>
        <w:t xml:space="preserve">Ministerstva školství, mládeže a tělovýchovy (dále jen „poskytovatel“) </w:t>
      </w:r>
      <w:r w:rsidR="00B27405" w:rsidRPr="001E38C7">
        <w:rPr>
          <w:rFonts w:ascii="Arial" w:hAnsi="Arial" w:cs="Arial"/>
          <w:sz w:val="22"/>
          <w:szCs w:val="22"/>
        </w:rPr>
        <w:t>ze dne 18. srpna 2022 č</w:t>
      </w:r>
      <w:r w:rsidR="00E42695">
        <w:rPr>
          <w:rFonts w:ascii="Arial" w:hAnsi="Arial" w:cs="Arial"/>
          <w:sz w:val="22"/>
          <w:szCs w:val="22"/>
        </w:rPr>
        <w:t>. </w:t>
      </w:r>
      <w:r w:rsidR="00B27405" w:rsidRPr="001E38C7">
        <w:rPr>
          <w:rFonts w:ascii="Arial" w:hAnsi="Arial" w:cs="Arial"/>
          <w:sz w:val="22"/>
          <w:szCs w:val="22"/>
        </w:rPr>
        <w:t xml:space="preserve"> j</w:t>
      </w:r>
      <w:r w:rsidR="00E42695">
        <w:rPr>
          <w:rFonts w:ascii="Arial" w:hAnsi="Arial" w:cs="Arial"/>
          <w:sz w:val="22"/>
          <w:szCs w:val="22"/>
        </w:rPr>
        <w:t>. </w:t>
      </w:r>
      <w:r w:rsidR="00B27405" w:rsidRPr="001E38C7">
        <w:rPr>
          <w:rFonts w:ascii="Arial" w:hAnsi="Arial" w:cs="Arial"/>
          <w:sz w:val="22"/>
          <w:szCs w:val="22"/>
        </w:rPr>
        <w:t xml:space="preserve"> MSMT</w:t>
      </w:r>
      <w:r w:rsidR="00E57AEA" w:rsidRPr="001E38C7">
        <w:rPr>
          <w:rFonts w:ascii="Arial" w:hAnsi="Arial" w:cs="Arial"/>
          <w:sz w:val="22"/>
          <w:szCs w:val="22"/>
        </w:rPr>
        <w:t>-19271/2022-2.</w:t>
      </w:r>
    </w:p>
    <w:p w:rsidR="005116B5" w:rsidRPr="001E38C7" w:rsidRDefault="005116B5" w:rsidP="00CF0116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:rsidR="00BF1715" w:rsidRPr="00E57AEA" w:rsidRDefault="00BF1715" w:rsidP="008F2B28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E57AEA"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:rsidR="00492346" w:rsidRDefault="004D2D6C" w:rsidP="001E38C7">
      <w:pPr>
        <w:spacing w:after="120"/>
        <w:ind w:firstLine="360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>N</w:t>
      </w:r>
      <w:r w:rsidR="00492346" w:rsidRPr="001E38C7">
        <w:rPr>
          <w:rFonts w:ascii="Arial" w:hAnsi="Arial" w:cs="Arial"/>
          <w:sz w:val="22"/>
          <w:szCs w:val="22"/>
        </w:rPr>
        <w:t xml:space="preserve">ávrh byl projednán na </w:t>
      </w:r>
      <w:r w:rsidR="008F2B28" w:rsidRPr="001E38C7">
        <w:rPr>
          <w:rFonts w:ascii="Arial" w:hAnsi="Arial" w:cs="Arial"/>
          <w:sz w:val="22"/>
          <w:szCs w:val="22"/>
        </w:rPr>
        <w:t>3</w:t>
      </w:r>
      <w:r w:rsidR="00E57AEA" w:rsidRPr="001E38C7">
        <w:rPr>
          <w:rFonts w:ascii="Arial" w:hAnsi="Arial" w:cs="Arial"/>
          <w:sz w:val="22"/>
          <w:szCs w:val="22"/>
        </w:rPr>
        <w:t xml:space="preserve">82. </w:t>
      </w:r>
      <w:r w:rsidR="008F2B28" w:rsidRPr="001E38C7">
        <w:rPr>
          <w:rFonts w:ascii="Arial" w:hAnsi="Arial" w:cs="Arial"/>
          <w:sz w:val="22"/>
          <w:szCs w:val="22"/>
        </w:rPr>
        <w:t xml:space="preserve">zasedání Rady dne </w:t>
      </w:r>
      <w:r w:rsidR="00E57AEA" w:rsidRPr="001E38C7">
        <w:rPr>
          <w:rFonts w:ascii="Arial" w:hAnsi="Arial" w:cs="Arial"/>
          <w:sz w:val="22"/>
          <w:szCs w:val="22"/>
        </w:rPr>
        <w:t>30</w:t>
      </w:r>
      <w:r w:rsidR="008F2B28" w:rsidRPr="001E38C7">
        <w:rPr>
          <w:rFonts w:ascii="Arial" w:hAnsi="Arial" w:cs="Arial"/>
          <w:sz w:val="22"/>
          <w:szCs w:val="22"/>
        </w:rPr>
        <w:t>.</w:t>
      </w:r>
      <w:r w:rsidR="00E57AEA" w:rsidRPr="001E38C7">
        <w:rPr>
          <w:rFonts w:ascii="Arial" w:hAnsi="Arial" w:cs="Arial"/>
          <w:sz w:val="22"/>
          <w:szCs w:val="22"/>
        </w:rPr>
        <w:t xml:space="preserve"> září 2022.</w:t>
      </w:r>
    </w:p>
    <w:p w:rsidR="005116B5" w:rsidRPr="001E38C7" w:rsidRDefault="005116B5" w:rsidP="001E38C7">
      <w:pPr>
        <w:spacing w:after="120"/>
        <w:ind w:firstLine="360"/>
        <w:rPr>
          <w:rFonts w:ascii="Arial" w:hAnsi="Arial" w:cs="Arial"/>
          <w:sz w:val="22"/>
          <w:szCs w:val="22"/>
        </w:rPr>
      </w:pPr>
    </w:p>
    <w:p w:rsidR="00B025F8" w:rsidRPr="00EE33FB" w:rsidRDefault="008F566B" w:rsidP="00B025F8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B025F8">
        <w:rPr>
          <w:rFonts w:ascii="Arial" w:hAnsi="Arial" w:cs="Arial"/>
          <w:b/>
          <w:color w:val="0070C0"/>
          <w:sz w:val="28"/>
          <w:szCs w:val="28"/>
        </w:rPr>
        <w:t>P</w:t>
      </w:r>
      <w:r w:rsidR="00B025F8" w:rsidRPr="00B025F8">
        <w:rPr>
          <w:rFonts w:ascii="Arial" w:hAnsi="Arial" w:cs="Arial"/>
          <w:b/>
          <w:color w:val="0070C0"/>
          <w:sz w:val="28"/>
          <w:szCs w:val="28"/>
        </w:rPr>
        <w:t>rogram a jeho dosavadní</w:t>
      </w:r>
      <w:r w:rsidRPr="00B025F8">
        <w:rPr>
          <w:rFonts w:ascii="Arial" w:hAnsi="Arial" w:cs="Arial"/>
          <w:b/>
          <w:color w:val="0070C0"/>
          <w:sz w:val="28"/>
          <w:szCs w:val="28"/>
        </w:rPr>
        <w:t xml:space="preserve"> průběh</w:t>
      </w:r>
    </w:p>
    <w:p w:rsidR="001E38C7" w:rsidRPr="00B025F8" w:rsidRDefault="008F566B" w:rsidP="00B025F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B025F8">
        <w:rPr>
          <w:rFonts w:ascii="Arial" w:hAnsi="Arial" w:cs="Arial"/>
          <w:sz w:val="22"/>
          <w:szCs w:val="22"/>
        </w:rPr>
        <w:t xml:space="preserve">Program byl schválen usnesením vlády ze dne </w:t>
      </w:r>
      <w:r w:rsidR="001E38C7" w:rsidRPr="00B025F8">
        <w:rPr>
          <w:rFonts w:ascii="Arial" w:hAnsi="Arial" w:cs="Arial"/>
          <w:sz w:val="22"/>
          <w:szCs w:val="22"/>
        </w:rPr>
        <w:t>7. prosince 2010 č. 885 a v průběhu trvání prošel dvěma změnami.</w:t>
      </w:r>
    </w:p>
    <w:p w:rsidR="008F566B" w:rsidRDefault="001E38C7" w:rsidP="001E38C7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 xml:space="preserve">První změna </w:t>
      </w:r>
      <w:r w:rsidR="00E42695">
        <w:rPr>
          <w:rFonts w:ascii="Arial" w:hAnsi="Arial" w:cs="Arial"/>
          <w:sz w:val="22"/>
          <w:szCs w:val="22"/>
        </w:rPr>
        <w:t>P</w:t>
      </w:r>
      <w:r w:rsidRPr="001E38C7">
        <w:rPr>
          <w:rFonts w:ascii="Arial" w:hAnsi="Arial" w:cs="Arial"/>
          <w:sz w:val="22"/>
          <w:szCs w:val="22"/>
        </w:rPr>
        <w:t>rogramu byla schválena usnesením vlády ze dne 9. března 2016 č. 190 a</w:t>
      </w:r>
      <w:r>
        <w:rPr>
          <w:rFonts w:ascii="Arial" w:hAnsi="Arial" w:cs="Arial"/>
          <w:sz w:val="22"/>
          <w:szCs w:val="22"/>
        </w:rPr>
        <w:t> </w:t>
      </w:r>
      <w:r w:rsidRPr="001E38C7">
        <w:rPr>
          <w:rFonts w:ascii="Arial" w:hAnsi="Arial" w:cs="Arial"/>
          <w:sz w:val="22"/>
          <w:szCs w:val="22"/>
        </w:rPr>
        <w:t>druhá usnesením vlády ze dne 29. dubna 2019 č. 293.</w:t>
      </w:r>
    </w:p>
    <w:p w:rsidR="001E38C7" w:rsidRDefault="001E38C7" w:rsidP="001E38C7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Obě uvedené změny Programu souvisely </w:t>
      </w:r>
      <w:r w:rsidR="00EE33FB">
        <w:rPr>
          <w:rFonts w:ascii="Arial" w:hAnsi="Arial" w:cs="Arial"/>
          <w:sz w:val="22"/>
          <w:szCs w:val="22"/>
        </w:rPr>
        <w:t xml:space="preserve">především </w:t>
      </w:r>
      <w:r>
        <w:rPr>
          <w:rFonts w:ascii="Arial" w:hAnsi="Arial" w:cs="Arial"/>
          <w:sz w:val="22"/>
          <w:szCs w:val="22"/>
        </w:rPr>
        <w:t xml:space="preserve">s potřebou prodloužení doby </w:t>
      </w:r>
      <w:r w:rsidR="00A513E5">
        <w:rPr>
          <w:rFonts w:ascii="Arial" w:hAnsi="Arial" w:cs="Arial"/>
          <w:sz w:val="22"/>
          <w:szCs w:val="22"/>
        </w:rPr>
        <w:t xml:space="preserve">jeho </w:t>
      </w:r>
      <w:r>
        <w:rPr>
          <w:rFonts w:ascii="Arial" w:hAnsi="Arial" w:cs="Arial"/>
          <w:sz w:val="22"/>
          <w:szCs w:val="22"/>
        </w:rPr>
        <w:t>trvání a</w:t>
      </w:r>
      <w:r w:rsidR="00B025F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navýšením finančních prostředků.</w:t>
      </w:r>
    </w:p>
    <w:p w:rsidR="00B025F8" w:rsidRPr="007838F7" w:rsidRDefault="00B025F8" w:rsidP="00B025F8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7838F7">
        <w:rPr>
          <w:rFonts w:ascii="Arial" w:hAnsi="Arial" w:cs="Arial"/>
          <w:sz w:val="22"/>
          <w:szCs w:val="22"/>
        </w:rPr>
        <w:t xml:space="preserve">Program umožňuje podpořit projekty </w:t>
      </w:r>
      <w:r w:rsidR="00F76FDC" w:rsidRPr="00F76FDC">
        <w:rPr>
          <w:rFonts w:ascii="Arial" w:hAnsi="Arial" w:cs="Arial"/>
          <w:sz w:val="22"/>
          <w:szCs w:val="22"/>
        </w:rPr>
        <w:t>tzv. „hraničního výzkumu“ (tj. projektů posunujících hranici poznání bez ohledu na tradiční členění) českých, mezinárodně uznávaných výzkumných pracovníků,</w:t>
      </w:r>
      <w:r w:rsidRPr="007838F7">
        <w:rPr>
          <w:rFonts w:ascii="Arial" w:hAnsi="Arial" w:cs="Arial"/>
          <w:sz w:val="22"/>
          <w:szCs w:val="22"/>
        </w:rPr>
        <w:t xml:space="preserve"> kteří při podání svých projektů do výzev Evropské výzku</w:t>
      </w:r>
      <w:r w:rsidR="00A513E5">
        <w:rPr>
          <w:rFonts w:ascii="Arial" w:hAnsi="Arial" w:cs="Arial"/>
          <w:sz w:val="22"/>
          <w:szCs w:val="22"/>
        </w:rPr>
        <w:t>mné rady (dále jen „ERC“) uspěly</w:t>
      </w:r>
      <w:r w:rsidRPr="007838F7">
        <w:rPr>
          <w:rFonts w:ascii="Arial" w:hAnsi="Arial" w:cs="Arial"/>
          <w:sz w:val="22"/>
          <w:szCs w:val="22"/>
        </w:rPr>
        <w:t xml:space="preserve"> v náročném hodnocení prováděném odb</w:t>
      </w:r>
      <w:r w:rsidR="00F76FDC">
        <w:rPr>
          <w:rFonts w:ascii="Arial" w:hAnsi="Arial" w:cs="Arial"/>
          <w:sz w:val="22"/>
          <w:szCs w:val="22"/>
        </w:rPr>
        <w:t>ornými panely ERC, ale </w:t>
      </w:r>
      <w:r w:rsidR="00A513E5">
        <w:rPr>
          <w:rFonts w:ascii="Arial" w:hAnsi="Arial" w:cs="Arial"/>
          <w:sz w:val="22"/>
          <w:szCs w:val="22"/>
        </w:rPr>
        <w:t>nezískaly</w:t>
      </w:r>
      <w:r w:rsidR="008449B6">
        <w:rPr>
          <w:rFonts w:ascii="Arial" w:hAnsi="Arial" w:cs="Arial"/>
          <w:sz w:val="22"/>
          <w:szCs w:val="22"/>
        </w:rPr>
        <w:t xml:space="preserve"> finanční</w:t>
      </w:r>
      <w:r w:rsidRPr="007838F7">
        <w:rPr>
          <w:rFonts w:ascii="Arial" w:hAnsi="Arial" w:cs="Arial"/>
          <w:sz w:val="22"/>
          <w:szCs w:val="22"/>
        </w:rPr>
        <w:t xml:space="preserve"> podporu z evropských prostředků</w:t>
      </w:r>
      <w:r w:rsidR="008449B6">
        <w:rPr>
          <w:rFonts w:ascii="Arial" w:hAnsi="Arial" w:cs="Arial"/>
          <w:sz w:val="22"/>
          <w:szCs w:val="22"/>
        </w:rPr>
        <w:t xml:space="preserve"> z důvodu nedostatečné alokace</w:t>
      </w:r>
      <w:r w:rsidRPr="007838F7">
        <w:rPr>
          <w:rFonts w:ascii="Arial" w:hAnsi="Arial" w:cs="Arial"/>
          <w:sz w:val="22"/>
          <w:szCs w:val="22"/>
        </w:rPr>
        <w:t>. Program  podporuje projekty všech kategorií vyhlašovaných ERC</w:t>
      </w:r>
      <w:r w:rsidR="007838F7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7838F7">
        <w:rPr>
          <w:rFonts w:ascii="Arial" w:hAnsi="Arial" w:cs="Arial"/>
          <w:sz w:val="22"/>
          <w:szCs w:val="22"/>
        </w:rPr>
        <w:t>.</w:t>
      </w:r>
    </w:p>
    <w:p w:rsidR="008449B6" w:rsidRDefault="008449B6" w:rsidP="008449B6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EE33FB">
        <w:rPr>
          <w:rFonts w:ascii="Arial" w:hAnsi="Arial" w:cs="Arial"/>
          <w:sz w:val="22"/>
          <w:szCs w:val="22"/>
        </w:rPr>
        <w:t>Program obsahuje motivační nástroj v podobě povinnosti řešitele, aby nejpozději do dvou let od zahájení financování projektu z národních zdrojů podal přiměř</w:t>
      </w:r>
      <w:r w:rsidR="00C02FBE">
        <w:rPr>
          <w:rFonts w:ascii="Arial" w:hAnsi="Arial" w:cs="Arial"/>
          <w:sz w:val="22"/>
          <w:szCs w:val="22"/>
        </w:rPr>
        <w:t>eně upravený, resp. </w:t>
      </w:r>
      <w:bookmarkStart w:id="0" w:name="_GoBack"/>
      <w:bookmarkEnd w:id="0"/>
      <w:r w:rsidRPr="00EE33FB">
        <w:rPr>
          <w:rFonts w:ascii="Arial" w:hAnsi="Arial" w:cs="Arial"/>
          <w:sz w:val="22"/>
          <w:szCs w:val="22"/>
        </w:rPr>
        <w:t>dopracovaný návrh projektu do výzvy ERC. V případě, že uchazeč s tímto projektem uspěje a podporu od ERC získá, je projekt v </w:t>
      </w:r>
      <w:r>
        <w:rPr>
          <w:rFonts w:ascii="Arial" w:hAnsi="Arial" w:cs="Arial"/>
          <w:sz w:val="22"/>
          <w:szCs w:val="22"/>
        </w:rPr>
        <w:t>Pr</w:t>
      </w:r>
      <w:r w:rsidRPr="00EE33FB">
        <w:rPr>
          <w:rFonts w:ascii="Arial" w:hAnsi="Arial" w:cs="Arial"/>
          <w:sz w:val="22"/>
          <w:szCs w:val="22"/>
        </w:rPr>
        <w:t xml:space="preserve">ogramu ukončen. </w:t>
      </w:r>
    </w:p>
    <w:p w:rsidR="005116B5" w:rsidRPr="00EE33FB" w:rsidRDefault="005116B5" w:rsidP="008449B6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</w:p>
    <w:p w:rsidR="00BF1715" w:rsidRPr="008F566B" w:rsidRDefault="001E518C" w:rsidP="004D2D6C">
      <w:pPr>
        <w:pStyle w:val="Odstavecseseznamem"/>
        <w:numPr>
          <w:ilvl w:val="0"/>
          <w:numId w:val="2"/>
        </w:numPr>
        <w:spacing w:after="120"/>
        <w:ind w:left="1077"/>
        <w:rPr>
          <w:rFonts w:ascii="Arial" w:hAnsi="Arial" w:cs="Arial"/>
          <w:b/>
          <w:color w:val="0070C0"/>
          <w:sz w:val="28"/>
          <w:szCs w:val="28"/>
        </w:rPr>
      </w:pPr>
      <w:r w:rsidRPr="008F566B">
        <w:rPr>
          <w:rFonts w:ascii="Arial" w:hAnsi="Arial" w:cs="Arial"/>
          <w:b/>
          <w:color w:val="0070C0"/>
          <w:sz w:val="28"/>
          <w:szCs w:val="28"/>
        </w:rPr>
        <w:t>Navrhované změny a jejich s</w:t>
      </w:r>
      <w:r w:rsidR="00BF1715" w:rsidRPr="008F566B">
        <w:rPr>
          <w:rFonts w:ascii="Arial" w:hAnsi="Arial" w:cs="Arial"/>
          <w:b/>
          <w:color w:val="0070C0"/>
          <w:sz w:val="28"/>
          <w:szCs w:val="28"/>
        </w:rPr>
        <w:t>oulad se zákonem o podpoře výzkumu, experimentálního vývoje a inovací</w:t>
      </w:r>
    </w:p>
    <w:p w:rsidR="00E7659E" w:rsidRPr="00EE33FB" w:rsidRDefault="008F2B28" w:rsidP="004D2D6C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EE33FB">
        <w:rPr>
          <w:rFonts w:ascii="Arial" w:hAnsi="Arial" w:cs="Arial"/>
          <w:sz w:val="22"/>
          <w:szCs w:val="22"/>
        </w:rPr>
        <w:t xml:space="preserve">Rada hodnotí náležitosti </w:t>
      </w:r>
      <w:r w:rsidR="00A513E5">
        <w:rPr>
          <w:rFonts w:ascii="Arial" w:hAnsi="Arial" w:cs="Arial"/>
          <w:sz w:val="22"/>
          <w:szCs w:val="22"/>
        </w:rPr>
        <w:t>ná</w:t>
      </w:r>
      <w:r w:rsidRPr="00EE33FB">
        <w:rPr>
          <w:rFonts w:ascii="Arial" w:hAnsi="Arial" w:cs="Arial"/>
          <w:sz w:val="22"/>
          <w:szCs w:val="22"/>
        </w:rPr>
        <w:t xml:space="preserve">vrhu na </w:t>
      </w:r>
      <w:r w:rsidR="00A92BF6" w:rsidRPr="00EE33FB">
        <w:rPr>
          <w:rFonts w:ascii="Arial" w:hAnsi="Arial" w:cs="Arial"/>
          <w:sz w:val="22"/>
          <w:szCs w:val="22"/>
        </w:rPr>
        <w:t>změnu</w:t>
      </w:r>
      <w:r w:rsidRPr="00EE33FB">
        <w:rPr>
          <w:rFonts w:ascii="Arial" w:hAnsi="Arial" w:cs="Arial"/>
          <w:sz w:val="22"/>
          <w:szCs w:val="22"/>
        </w:rPr>
        <w:t xml:space="preserve"> Programu</w:t>
      </w:r>
      <w:r w:rsidR="004D2D6C" w:rsidRPr="00EE33FB">
        <w:rPr>
          <w:rFonts w:ascii="Arial" w:hAnsi="Arial" w:cs="Arial"/>
          <w:sz w:val="22"/>
          <w:szCs w:val="22"/>
        </w:rPr>
        <w:t xml:space="preserve"> ve smyslu § 5 odst. 3</w:t>
      </w:r>
      <w:r w:rsidR="007E65F4" w:rsidRPr="00EE33FB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zákona č.</w:t>
      </w:r>
      <w:r w:rsidR="00B02709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130/2002 Sb., o podpoře výzkumu, experimentálního vývoje a inovací z veřejných prostředků a o změně některých souvisejících zákonů (dále jen „zákon o podpoře výzkumu, experimentálního vývoje a inovací“)</w:t>
      </w:r>
      <w:r w:rsidR="00A92BF6" w:rsidRPr="00EE33FB">
        <w:rPr>
          <w:rFonts w:ascii="Arial" w:hAnsi="Arial" w:cs="Arial"/>
          <w:sz w:val="22"/>
          <w:szCs w:val="22"/>
        </w:rPr>
        <w:t xml:space="preserve">. </w:t>
      </w:r>
    </w:p>
    <w:p w:rsidR="00E7659E" w:rsidRDefault="00942CEA" w:rsidP="00876F98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7659E" w:rsidRPr="00EE33FB">
        <w:rPr>
          <w:rFonts w:ascii="Arial" w:hAnsi="Arial" w:cs="Arial"/>
          <w:sz w:val="22"/>
          <w:szCs w:val="22"/>
        </w:rPr>
        <w:t>ávrh na</w:t>
      </w:r>
      <w:r w:rsidR="00452DFC">
        <w:rPr>
          <w:rFonts w:ascii="Arial" w:hAnsi="Arial" w:cs="Arial"/>
          <w:sz w:val="22"/>
          <w:szCs w:val="22"/>
        </w:rPr>
        <w:t> </w:t>
      </w:r>
      <w:r w:rsidR="00E42695">
        <w:rPr>
          <w:rFonts w:ascii="Arial" w:hAnsi="Arial" w:cs="Arial"/>
          <w:sz w:val="22"/>
          <w:szCs w:val="22"/>
        </w:rPr>
        <w:t xml:space="preserve">třetí </w:t>
      </w:r>
      <w:r w:rsidR="00E7659E" w:rsidRPr="00EE33FB">
        <w:rPr>
          <w:rFonts w:ascii="Arial" w:hAnsi="Arial" w:cs="Arial"/>
          <w:sz w:val="22"/>
          <w:szCs w:val="22"/>
        </w:rPr>
        <w:t xml:space="preserve">změnu Programu </w:t>
      </w:r>
      <w:r>
        <w:rPr>
          <w:rFonts w:ascii="Arial" w:hAnsi="Arial" w:cs="Arial"/>
          <w:sz w:val="22"/>
          <w:szCs w:val="22"/>
        </w:rPr>
        <w:t xml:space="preserve">je předkládán </w:t>
      </w:r>
      <w:r w:rsidR="00E7659E" w:rsidRPr="00EE33FB">
        <w:rPr>
          <w:rFonts w:ascii="Arial" w:hAnsi="Arial" w:cs="Arial"/>
          <w:sz w:val="22"/>
          <w:szCs w:val="22"/>
        </w:rPr>
        <w:t>z</w:t>
      </w:r>
      <w:r w:rsidR="00876F98" w:rsidRPr="00EE33FB">
        <w:rPr>
          <w:rFonts w:ascii="Arial" w:hAnsi="Arial" w:cs="Arial"/>
          <w:sz w:val="22"/>
          <w:szCs w:val="22"/>
        </w:rPr>
        <w:t xml:space="preserve"> důvodů </w:t>
      </w:r>
      <w:r w:rsidR="008E5537">
        <w:rPr>
          <w:rFonts w:ascii="Arial" w:hAnsi="Arial" w:cs="Arial"/>
          <w:sz w:val="22"/>
          <w:szCs w:val="22"/>
        </w:rPr>
        <w:t xml:space="preserve">potřeby prodloužení doby jeho </w:t>
      </w:r>
      <w:r w:rsidR="00E7659E" w:rsidRPr="00EE33FB">
        <w:rPr>
          <w:rFonts w:ascii="Arial" w:hAnsi="Arial" w:cs="Arial"/>
          <w:sz w:val="22"/>
          <w:szCs w:val="22"/>
        </w:rPr>
        <w:t>trvání</w:t>
      </w:r>
      <w:r w:rsidR="008E5537">
        <w:rPr>
          <w:rFonts w:ascii="Arial" w:hAnsi="Arial" w:cs="Arial"/>
          <w:sz w:val="22"/>
          <w:szCs w:val="22"/>
        </w:rPr>
        <w:t>. Plánovanou</w:t>
      </w:r>
      <w:r>
        <w:rPr>
          <w:rFonts w:ascii="Arial" w:hAnsi="Arial" w:cs="Arial"/>
          <w:sz w:val="22"/>
          <w:szCs w:val="22"/>
        </w:rPr>
        <w:t xml:space="preserve"> součástí</w:t>
      </w:r>
      <w:r w:rsidR="00B02709">
        <w:rPr>
          <w:rFonts w:ascii="Arial" w:hAnsi="Arial" w:cs="Arial"/>
          <w:sz w:val="22"/>
          <w:szCs w:val="22"/>
        </w:rPr>
        <w:t xml:space="preserve"> </w:t>
      </w:r>
      <w:r w:rsidR="00E42695">
        <w:rPr>
          <w:rFonts w:ascii="Arial" w:hAnsi="Arial" w:cs="Arial"/>
          <w:sz w:val="22"/>
          <w:szCs w:val="22"/>
        </w:rPr>
        <w:t>návrhu je</w:t>
      </w:r>
      <w:r w:rsidR="00B02709">
        <w:rPr>
          <w:rFonts w:ascii="Arial" w:hAnsi="Arial" w:cs="Arial"/>
          <w:sz w:val="22"/>
          <w:szCs w:val="22"/>
        </w:rPr>
        <w:t xml:space="preserve"> i navýšení rozpočtu</w:t>
      </w:r>
      <w:r w:rsidR="008E5537">
        <w:rPr>
          <w:rFonts w:ascii="Arial" w:hAnsi="Arial" w:cs="Arial"/>
          <w:sz w:val="22"/>
          <w:szCs w:val="22"/>
        </w:rPr>
        <w:t>.</w:t>
      </w:r>
    </w:p>
    <w:p w:rsidR="008E5537" w:rsidRDefault="008E5537" w:rsidP="00876F98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 současné době je </w:t>
      </w:r>
      <w:r w:rsidR="00452DFC">
        <w:rPr>
          <w:rFonts w:ascii="Arial" w:hAnsi="Arial" w:cs="Arial"/>
          <w:sz w:val="22"/>
          <w:szCs w:val="22"/>
        </w:rPr>
        <w:t xml:space="preserve">Program schválen do roku 2026. </w:t>
      </w:r>
      <w:r>
        <w:rPr>
          <w:rFonts w:ascii="Arial" w:hAnsi="Arial" w:cs="Arial"/>
          <w:sz w:val="22"/>
          <w:szCs w:val="22"/>
        </w:rPr>
        <w:t xml:space="preserve">Protože </w:t>
      </w:r>
      <w:r w:rsidR="00452DFC">
        <w:rPr>
          <w:rFonts w:ascii="Arial" w:hAnsi="Arial" w:cs="Arial"/>
          <w:sz w:val="22"/>
          <w:szCs w:val="22"/>
        </w:rPr>
        <w:t xml:space="preserve">doba řešení </w:t>
      </w:r>
      <w:r>
        <w:rPr>
          <w:rFonts w:ascii="Arial" w:hAnsi="Arial" w:cs="Arial"/>
          <w:sz w:val="22"/>
          <w:szCs w:val="22"/>
        </w:rPr>
        <w:t xml:space="preserve">jednotlivých </w:t>
      </w:r>
      <w:r w:rsidR="00452DFC">
        <w:rPr>
          <w:rFonts w:ascii="Arial" w:hAnsi="Arial" w:cs="Arial"/>
          <w:sz w:val="22"/>
          <w:szCs w:val="22"/>
        </w:rPr>
        <w:t xml:space="preserve">projektů je obvykle pětiletá, nelze již </w:t>
      </w:r>
      <w:r w:rsidR="00A513E5">
        <w:rPr>
          <w:rFonts w:ascii="Arial" w:hAnsi="Arial" w:cs="Arial"/>
          <w:sz w:val="22"/>
          <w:szCs w:val="22"/>
        </w:rPr>
        <w:t xml:space="preserve">vyhlašovat </w:t>
      </w:r>
      <w:r w:rsidR="00452DFC">
        <w:rPr>
          <w:rFonts w:ascii="Arial" w:hAnsi="Arial" w:cs="Arial"/>
          <w:sz w:val="22"/>
          <w:szCs w:val="22"/>
        </w:rPr>
        <w:t xml:space="preserve">nové </w:t>
      </w:r>
      <w:r>
        <w:rPr>
          <w:rFonts w:ascii="Arial" w:hAnsi="Arial" w:cs="Arial"/>
          <w:sz w:val="22"/>
          <w:szCs w:val="22"/>
        </w:rPr>
        <w:t xml:space="preserve">veřejné </w:t>
      </w:r>
      <w:r w:rsidR="00452DFC">
        <w:rPr>
          <w:rFonts w:ascii="Arial" w:hAnsi="Arial" w:cs="Arial"/>
          <w:sz w:val="22"/>
          <w:szCs w:val="22"/>
        </w:rPr>
        <w:t>soutěže</w:t>
      </w:r>
      <w:r w:rsidR="00A513E5">
        <w:rPr>
          <w:rFonts w:ascii="Arial" w:hAnsi="Arial" w:cs="Arial"/>
          <w:sz w:val="22"/>
          <w:szCs w:val="22"/>
        </w:rPr>
        <w:t>.</w:t>
      </w:r>
      <w:r w:rsidR="00452DFC">
        <w:rPr>
          <w:rFonts w:ascii="Arial" w:hAnsi="Arial" w:cs="Arial"/>
          <w:sz w:val="22"/>
          <w:szCs w:val="22"/>
        </w:rPr>
        <w:t xml:space="preserve"> </w:t>
      </w:r>
    </w:p>
    <w:p w:rsidR="00452DFC" w:rsidRDefault="009F5416" w:rsidP="00876F98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tomu, že</w:t>
      </w:r>
      <w:r w:rsidR="008E5537">
        <w:rPr>
          <w:rFonts w:ascii="Arial" w:hAnsi="Arial" w:cs="Arial"/>
          <w:sz w:val="22"/>
          <w:szCs w:val="22"/>
        </w:rPr>
        <w:t xml:space="preserve"> p</w:t>
      </w:r>
      <w:r w:rsidR="00942CEA">
        <w:rPr>
          <w:rFonts w:ascii="Arial" w:hAnsi="Arial" w:cs="Arial"/>
          <w:sz w:val="22"/>
          <w:szCs w:val="22"/>
        </w:rPr>
        <w:t xml:space="preserve">lán 9. rámcového programu Horizont Evropa pro období 2021 – 2027 </w:t>
      </w:r>
      <w:r w:rsidR="0037038A" w:rsidRPr="0037038A">
        <w:rPr>
          <w:rFonts w:ascii="Arial" w:hAnsi="Arial" w:cs="Arial"/>
          <w:sz w:val="22"/>
          <w:szCs w:val="22"/>
        </w:rPr>
        <w:t>předpokládá vyhlašování výzev ERC do roku 2027 a řešení projektů do roku 2032</w:t>
      </w:r>
      <w:r w:rsidR="003E3A66">
        <w:rPr>
          <w:rFonts w:ascii="Arial" w:hAnsi="Arial" w:cs="Arial"/>
          <w:sz w:val="22"/>
          <w:szCs w:val="22"/>
        </w:rPr>
        <w:t>, navrhuje</w:t>
      </w:r>
      <w:r w:rsidR="008E5537">
        <w:rPr>
          <w:rFonts w:ascii="Arial" w:hAnsi="Arial" w:cs="Arial"/>
          <w:sz w:val="22"/>
          <w:szCs w:val="22"/>
        </w:rPr>
        <w:t xml:space="preserve"> poskytovatel účelové podpory </w:t>
      </w:r>
      <w:r w:rsidR="008449B6">
        <w:rPr>
          <w:rFonts w:ascii="Arial" w:hAnsi="Arial" w:cs="Arial"/>
          <w:sz w:val="22"/>
          <w:szCs w:val="22"/>
        </w:rPr>
        <w:t>z</w:t>
      </w:r>
      <w:r w:rsidR="003E3A66">
        <w:rPr>
          <w:rFonts w:ascii="Arial" w:hAnsi="Arial" w:cs="Arial"/>
          <w:sz w:val="22"/>
          <w:szCs w:val="22"/>
        </w:rPr>
        <w:t xml:space="preserve">měnu Programu ve formě </w:t>
      </w:r>
      <w:r w:rsidR="008E5537">
        <w:rPr>
          <w:rFonts w:ascii="Arial" w:hAnsi="Arial" w:cs="Arial"/>
          <w:sz w:val="22"/>
          <w:szCs w:val="22"/>
        </w:rPr>
        <w:t>je</w:t>
      </w:r>
      <w:r w:rsidR="003E3A66">
        <w:rPr>
          <w:rFonts w:ascii="Arial" w:hAnsi="Arial" w:cs="Arial"/>
          <w:sz w:val="22"/>
          <w:szCs w:val="22"/>
        </w:rPr>
        <w:t>h</w:t>
      </w:r>
      <w:r w:rsidR="008E5537">
        <w:rPr>
          <w:rFonts w:ascii="Arial" w:hAnsi="Arial" w:cs="Arial"/>
          <w:sz w:val="22"/>
          <w:szCs w:val="22"/>
        </w:rPr>
        <w:t xml:space="preserve">o </w:t>
      </w:r>
      <w:r w:rsidR="003E3A66">
        <w:rPr>
          <w:rFonts w:ascii="Arial" w:hAnsi="Arial" w:cs="Arial"/>
          <w:sz w:val="22"/>
          <w:szCs w:val="22"/>
        </w:rPr>
        <w:t>prodloužení</w:t>
      </w:r>
      <w:r w:rsidR="008E5537">
        <w:rPr>
          <w:rFonts w:ascii="Arial" w:hAnsi="Arial" w:cs="Arial"/>
          <w:sz w:val="22"/>
          <w:szCs w:val="22"/>
        </w:rPr>
        <w:t xml:space="preserve"> do</w:t>
      </w:r>
      <w:r w:rsidR="00E42695">
        <w:rPr>
          <w:rFonts w:ascii="Arial" w:hAnsi="Arial" w:cs="Arial"/>
          <w:sz w:val="22"/>
          <w:szCs w:val="22"/>
        </w:rPr>
        <w:t> </w:t>
      </w:r>
      <w:r w:rsidR="008E5537">
        <w:rPr>
          <w:rFonts w:ascii="Arial" w:hAnsi="Arial" w:cs="Arial"/>
          <w:sz w:val="22"/>
          <w:szCs w:val="22"/>
        </w:rPr>
        <w:t>ro</w:t>
      </w:r>
      <w:r w:rsidR="003E3A66">
        <w:rPr>
          <w:rFonts w:ascii="Arial" w:hAnsi="Arial" w:cs="Arial"/>
          <w:sz w:val="22"/>
          <w:szCs w:val="22"/>
        </w:rPr>
        <w:t>k</w:t>
      </w:r>
      <w:r w:rsidR="008E5537">
        <w:rPr>
          <w:rFonts w:ascii="Arial" w:hAnsi="Arial" w:cs="Arial"/>
          <w:sz w:val="22"/>
          <w:szCs w:val="22"/>
        </w:rPr>
        <w:t>u</w:t>
      </w:r>
      <w:r w:rsidR="003E3A66">
        <w:rPr>
          <w:rFonts w:ascii="Arial" w:hAnsi="Arial" w:cs="Arial"/>
          <w:sz w:val="22"/>
          <w:szCs w:val="22"/>
        </w:rPr>
        <w:t xml:space="preserve"> </w:t>
      </w:r>
      <w:r w:rsidR="008E5537">
        <w:rPr>
          <w:rFonts w:ascii="Arial" w:hAnsi="Arial" w:cs="Arial"/>
          <w:sz w:val="22"/>
          <w:szCs w:val="22"/>
        </w:rPr>
        <w:t>2032 a ve zvýšení výdajů státního rozpočtu na jeho realizaci v l</w:t>
      </w:r>
      <w:r>
        <w:rPr>
          <w:rFonts w:ascii="Arial" w:hAnsi="Arial" w:cs="Arial"/>
          <w:sz w:val="22"/>
          <w:szCs w:val="22"/>
        </w:rPr>
        <w:t>etech 2023 – 2032 o </w:t>
      </w:r>
      <w:r w:rsidR="00BD7C77">
        <w:rPr>
          <w:rFonts w:ascii="Arial" w:hAnsi="Arial" w:cs="Arial"/>
          <w:sz w:val="22"/>
          <w:szCs w:val="22"/>
        </w:rPr>
        <w:t>895</w:t>
      </w:r>
      <w:r w:rsidR="008E5537">
        <w:rPr>
          <w:rFonts w:ascii="Arial" w:hAnsi="Arial" w:cs="Arial"/>
          <w:sz w:val="22"/>
          <w:szCs w:val="22"/>
        </w:rPr>
        <w:t xml:space="preserve"> mil. Kč.</w:t>
      </w:r>
      <w:r w:rsidR="00942CEA">
        <w:rPr>
          <w:rFonts w:ascii="Arial" w:hAnsi="Arial" w:cs="Arial"/>
          <w:sz w:val="22"/>
          <w:szCs w:val="22"/>
        </w:rPr>
        <w:t xml:space="preserve"> </w:t>
      </w:r>
    </w:p>
    <w:p w:rsidR="009A085D" w:rsidRPr="00A513E5" w:rsidRDefault="009A085D" w:rsidP="00876F98">
      <w:pPr>
        <w:spacing w:after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A513E5">
        <w:rPr>
          <w:rFonts w:ascii="Arial" w:hAnsi="Arial" w:cs="Arial"/>
          <w:b/>
          <w:sz w:val="22"/>
          <w:szCs w:val="22"/>
        </w:rPr>
        <w:t>Tabulka výdajů na realizaci Programu</w:t>
      </w:r>
      <w:r w:rsidR="00DA3F29">
        <w:rPr>
          <w:rFonts w:ascii="Arial" w:hAnsi="Arial" w:cs="Arial"/>
          <w:b/>
          <w:sz w:val="22"/>
          <w:szCs w:val="22"/>
        </w:rPr>
        <w:t xml:space="preserve"> v tis. Kč</w:t>
      </w:r>
      <w:r w:rsidRPr="00A513E5">
        <w:rPr>
          <w:rFonts w:ascii="Arial" w:hAnsi="Arial" w:cs="Arial"/>
          <w:b/>
          <w:sz w:val="22"/>
          <w:szCs w:val="22"/>
        </w:rPr>
        <w:t>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2693"/>
        <w:gridCol w:w="2435"/>
        <w:gridCol w:w="2527"/>
      </w:tblGrid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Rok</w:t>
            </w:r>
          </w:p>
        </w:tc>
        <w:tc>
          <w:tcPr>
            <w:tcW w:w="2693" w:type="dxa"/>
          </w:tcPr>
          <w:p w:rsidR="009A085D" w:rsidRPr="003E3A66" w:rsidRDefault="009A085D" w:rsidP="00DA3F2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Stávající výše výdajů</w:t>
            </w:r>
            <w:r w:rsidR="00DA3F29">
              <w:rPr>
                <w:rFonts w:ascii="Arial" w:hAnsi="Arial" w:cs="Arial"/>
                <w:sz w:val="22"/>
                <w:szCs w:val="22"/>
              </w:rPr>
              <w:t xml:space="preserve"> dle programu schváleného vládou</w:t>
            </w:r>
          </w:p>
        </w:tc>
        <w:tc>
          <w:tcPr>
            <w:tcW w:w="2435" w:type="dxa"/>
          </w:tcPr>
          <w:p w:rsidR="009A085D" w:rsidRPr="003E3A66" w:rsidRDefault="009A085D" w:rsidP="00DA3F2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Navrhovaná výše výdajů </w:t>
            </w:r>
            <w:r w:rsidR="00DA3F29">
              <w:rPr>
                <w:rFonts w:ascii="Arial" w:hAnsi="Arial" w:cs="Arial"/>
                <w:sz w:val="22"/>
                <w:szCs w:val="22"/>
              </w:rPr>
              <w:t>ze státního rozpočtu</w:t>
            </w:r>
          </w:p>
        </w:tc>
        <w:tc>
          <w:tcPr>
            <w:tcW w:w="2527" w:type="dxa"/>
          </w:tcPr>
          <w:p w:rsidR="009A085D" w:rsidRPr="003E3A66" w:rsidRDefault="00DA3F29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3F29">
              <w:rPr>
                <w:rFonts w:ascii="Arial" w:hAnsi="Arial" w:cs="Arial"/>
                <w:sz w:val="22"/>
                <w:szCs w:val="22"/>
              </w:rPr>
              <w:t xml:space="preserve">Plánovaná podpora (údaje vyplývají z IS </w:t>
            </w:r>
            <w:proofErr w:type="spellStart"/>
            <w:r w:rsidRPr="00DA3F2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DA3F29">
              <w:rPr>
                <w:rFonts w:ascii="Arial" w:hAnsi="Arial" w:cs="Arial"/>
                <w:sz w:val="22"/>
                <w:szCs w:val="22"/>
              </w:rPr>
              <w:t xml:space="preserve"> – předaná data o řešených projektech rozpočtu</w:t>
            </w: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2693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90 000 </w:t>
            </w:r>
          </w:p>
        </w:tc>
        <w:tc>
          <w:tcPr>
            <w:tcW w:w="2435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165 000 </w:t>
            </w:r>
          </w:p>
        </w:tc>
        <w:tc>
          <w:tcPr>
            <w:tcW w:w="2527" w:type="dxa"/>
          </w:tcPr>
          <w:p w:rsidR="009A085D" w:rsidRPr="003E3A66" w:rsidRDefault="00DA3F29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95 064</w:t>
            </w: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2693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90 000 </w:t>
            </w:r>
          </w:p>
        </w:tc>
        <w:tc>
          <w:tcPr>
            <w:tcW w:w="2435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180 000 </w:t>
            </w:r>
          </w:p>
        </w:tc>
        <w:tc>
          <w:tcPr>
            <w:tcW w:w="2527" w:type="dxa"/>
          </w:tcPr>
          <w:p w:rsidR="009A085D" w:rsidRPr="003E3A66" w:rsidRDefault="00DA3F29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77 026</w:t>
            </w: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2025</w:t>
            </w:r>
          </w:p>
        </w:tc>
        <w:tc>
          <w:tcPr>
            <w:tcW w:w="2693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90 000 </w:t>
            </w:r>
          </w:p>
        </w:tc>
        <w:tc>
          <w:tcPr>
            <w:tcW w:w="2435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210 000 </w:t>
            </w:r>
          </w:p>
        </w:tc>
        <w:tc>
          <w:tcPr>
            <w:tcW w:w="2527" w:type="dxa"/>
          </w:tcPr>
          <w:p w:rsidR="009A085D" w:rsidRPr="003E3A66" w:rsidRDefault="00DA3F29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32 759</w:t>
            </w: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2693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90 000 </w:t>
            </w:r>
          </w:p>
        </w:tc>
        <w:tc>
          <w:tcPr>
            <w:tcW w:w="2435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100 000 </w:t>
            </w:r>
          </w:p>
        </w:tc>
        <w:tc>
          <w:tcPr>
            <w:tcW w:w="2527" w:type="dxa"/>
          </w:tcPr>
          <w:p w:rsidR="009A085D" w:rsidRPr="003E3A66" w:rsidRDefault="00DA3F29" w:rsidP="000B01E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15 3</w:t>
            </w:r>
            <w:r w:rsidR="000B01EA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2027</w:t>
            </w:r>
          </w:p>
        </w:tc>
        <w:tc>
          <w:tcPr>
            <w:tcW w:w="2693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5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100 000</w:t>
            </w:r>
          </w:p>
        </w:tc>
        <w:tc>
          <w:tcPr>
            <w:tcW w:w="2527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2028</w:t>
            </w:r>
          </w:p>
        </w:tc>
        <w:tc>
          <w:tcPr>
            <w:tcW w:w="2693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5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100 000 </w:t>
            </w:r>
          </w:p>
        </w:tc>
        <w:tc>
          <w:tcPr>
            <w:tcW w:w="2527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2029</w:t>
            </w:r>
          </w:p>
        </w:tc>
        <w:tc>
          <w:tcPr>
            <w:tcW w:w="2693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5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 xml:space="preserve">100 000 </w:t>
            </w:r>
          </w:p>
        </w:tc>
        <w:tc>
          <w:tcPr>
            <w:tcW w:w="2527" w:type="dxa"/>
          </w:tcPr>
          <w:p w:rsidR="009A085D" w:rsidRPr="003E3A66" w:rsidRDefault="009A085D" w:rsidP="003E3A6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2030</w:t>
            </w:r>
          </w:p>
        </w:tc>
        <w:tc>
          <w:tcPr>
            <w:tcW w:w="2693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5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100 000 </w:t>
            </w:r>
          </w:p>
        </w:tc>
        <w:tc>
          <w:tcPr>
            <w:tcW w:w="2527" w:type="dxa"/>
          </w:tcPr>
          <w:p w:rsidR="009A085D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2031</w:t>
            </w:r>
          </w:p>
        </w:tc>
        <w:tc>
          <w:tcPr>
            <w:tcW w:w="2693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5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100 000 </w:t>
            </w:r>
          </w:p>
        </w:tc>
        <w:tc>
          <w:tcPr>
            <w:tcW w:w="2527" w:type="dxa"/>
          </w:tcPr>
          <w:p w:rsidR="009A085D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3A66">
              <w:rPr>
                <w:rFonts w:ascii="Arial" w:hAnsi="Arial" w:cs="Arial"/>
                <w:sz w:val="22"/>
                <w:szCs w:val="22"/>
              </w:rPr>
              <w:t>2032</w:t>
            </w:r>
          </w:p>
        </w:tc>
        <w:tc>
          <w:tcPr>
            <w:tcW w:w="2693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5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100 000 </w:t>
            </w:r>
          </w:p>
        </w:tc>
        <w:tc>
          <w:tcPr>
            <w:tcW w:w="2527" w:type="dxa"/>
          </w:tcPr>
          <w:p w:rsidR="009A085D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085D" w:rsidRPr="003E3A66" w:rsidTr="005116B5">
        <w:trPr>
          <w:jc w:val="center"/>
        </w:trPr>
        <w:tc>
          <w:tcPr>
            <w:tcW w:w="992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693" w:type="dxa"/>
          </w:tcPr>
          <w:p w:rsidR="009A085D" w:rsidRPr="003E3A66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360 000</w:t>
            </w:r>
          </w:p>
        </w:tc>
        <w:tc>
          <w:tcPr>
            <w:tcW w:w="2435" w:type="dxa"/>
          </w:tcPr>
          <w:p w:rsidR="009A085D" w:rsidRDefault="009A085D" w:rsidP="00E022DC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1 255 000</w:t>
            </w:r>
          </w:p>
        </w:tc>
        <w:tc>
          <w:tcPr>
            <w:tcW w:w="2527" w:type="dxa"/>
          </w:tcPr>
          <w:p w:rsidR="009A085D" w:rsidRDefault="00DA3F29" w:rsidP="000B01EA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220 </w:t>
            </w:r>
            <w:r w:rsidR="000B01EA">
              <w:rPr>
                <w:rFonts w:ascii="Arial" w:hAnsi="Arial" w:cs="Arial"/>
                <w:sz w:val="22"/>
                <w:szCs w:val="22"/>
              </w:rPr>
              <w:t>215</w:t>
            </w:r>
          </w:p>
        </w:tc>
      </w:tr>
    </w:tbl>
    <w:p w:rsidR="005116B5" w:rsidRDefault="005116B5" w:rsidP="00601FDA">
      <w:pPr>
        <w:spacing w:before="120" w:after="120"/>
        <w:ind w:left="357"/>
        <w:jc w:val="both"/>
        <w:rPr>
          <w:rFonts w:ascii="Arial" w:hAnsi="Arial" w:cs="Arial"/>
          <w:sz w:val="22"/>
          <w:szCs w:val="22"/>
        </w:rPr>
      </w:pPr>
    </w:p>
    <w:p w:rsidR="001E518C" w:rsidRPr="0037038A" w:rsidRDefault="00E7659E" w:rsidP="00601FDA">
      <w:pPr>
        <w:spacing w:before="120" w:after="120"/>
        <w:ind w:left="357"/>
        <w:jc w:val="both"/>
        <w:rPr>
          <w:rFonts w:ascii="Arial" w:hAnsi="Arial" w:cs="Arial"/>
          <w:sz w:val="22"/>
          <w:szCs w:val="22"/>
        </w:rPr>
      </w:pPr>
      <w:r w:rsidRPr="0037038A">
        <w:rPr>
          <w:rFonts w:ascii="Arial" w:hAnsi="Arial" w:cs="Arial"/>
          <w:sz w:val="22"/>
          <w:szCs w:val="22"/>
        </w:rPr>
        <w:t xml:space="preserve">Poskytovatel </w:t>
      </w:r>
      <w:r w:rsidR="00876F98" w:rsidRPr="0037038A">
        <w:rPr>
          <w:rFonts w:ascii="Arial" w:hAnsi="Arial" w:cs="Arial"/>
          <w:sz w:val="22"/>
          <w:szCs w:val="22"/>
        </w:rPr>
        <w:t xml:space="preserve">navrhuje prodloužení trvání Programu o </w:t>
      </w:r>
      <w:r w:rsidR="003E3A66" w:rsidRPr="0037038A">
        <w:rPr>
          <w:rFonts w:ascii="Arial" w:hAnsi="Arial" w:cs="Arial"/>
          <w:sz w:val="22"/>
          <w:szCs w:val="22"/>
        </w:rPr>
        <w:t>další</w:t>
      </w:r>
      <w:r w:rsidR="005116B5">
        <w:rPr>
          <w:rFonts w:ascii="Arial" w:hAnsi="Arial" w:cs="Arial"/>
          <w:sz w:val="22"/>
          <w:szCs w:val="22"/>
        </w:rPr>
        <w:t>ch šest let. Předpokládá se, že </w:t>
      </w:r>
      <w:r w:rsidR="003E3A66" w:rsidRPr="0037038A">
        <w:rPr>
          <w:rFonts w:ascii="Arial" w:hAnsi="Arial" w:cs="Arial"/>
          <w:b/>
          <w:sz w:val="22"/>
          <w:szCs w:val="22"/>
        </w:rPr>
        <w:t>celková doba trvání Programu bude v letech  2012 – 2032.</w:t>
      </w:r>
      <w:r w:rsidR="003E3A66" w:rsidRPr="0037038A">
        <w:rPr>
          <w:rStyle w:val="Znakapoznpodarou"/>
          <w:rFonts w:ascii="Arial" w:hAnsi="Arial" w:cs="Arial"/>
          <w:sz w:val="22"/>
          <w:szCs w:val="22"/>
        </w:rPr>
        <w:footnoteReference w:id="2"/>
      </w:r>
    </w:p>
    <w:p w:rsidR="00DA3F29" w:rsidRDefault="00B75545" w:rsidP="00E7659E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B75545">
        <w:rPr>
          <w:rFonts w:ascii="Arial" w:hAnsi="Arial" w:cs="Arial"/>
          <w:sz w:val="22"/>
          <w:szCs w:val="22"/>
        </w:rPr>
        <w:t>Poskytovatel uvádí, že v případě, že rozpočet projektů předložených do veřejné soutěže programu „ERC CZ“ převýší výdaje uvedené v tabulce, MŠMT navýší výdaje na realizaci programu „ERC CZ“ z nároků z nespotřebovaných profilujících výdajů na výzkum a vývoj nebo optimalizací výdajů v ukazateli „účelová podpora na programy aplikovaného výzkumu, vývoje a inovací“, případně předloží vládě návrh na zvýšení výdajů ze státního rozpočtu.</w:t>
      </w:r>
    </w:p>
    <w:p w:rsidR="00AD70B0" w:rsidRPr="0037038A" w:rsidRDefault="00AD70B0" w:rsidP="00E7659E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37038A">
        <w:rPr>
          <w:rFonts w:ascii="Arial" w:hAnsi="Arial" w:cs="Arial"/>
          <w:sz w:val="22"/>
          <w:szCs w:val="22"/>
        </w:rPr>
        <w:t>Ostatní podmínky Programu se nemění.</w:t>
      </w:r>
    </w:p>
    <w:p w:rsidR="00734EE9" w:rsidRPr="0037038A" w:rsidRDefault="00734EE9" w:rsidP="00D76337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37038A">
        <w:rPr>
          <w:rFonts w:ascii="Arial" w:hAnsi="Arial" w:cs="Arial"/>
          <w:sz w:val="22"/>
          <w:szCs w:val="22"/>
        </w:rPr>
        <w:t xml:space="preserve">Z odůvodněných změn, které poskytovatel v Předkládací zprávě </w:t>
      </w:r>
      <w:r w:rsidR="00D76337" w:rsidRPr="0037038A">
        <w:rPr>
          <w:rFonts w:ascii="Arial" w:hAnsi="Arial" w:cs="Arial"/>
          <w:sz w:val="22"/>
          <w:szCs w:val="22"/>
        </w:rPr>
        <w:t xml:space="preserve">uvádí, </w:t>
      </w:r>
      <w:r w:rsidR="005116B5">
        <w:rPr>
          <w:rFonts w:ascii="Arial" w:hAnsi="Arial" w:cs="Arial"/>
          <w:sz w:val="22"/>
          <w:szCs w:val="22"/>
        </w:rPr>
        <w:t>vyplývá, že </w:t>
      </w:r>
      <w:r w:rsidRPr="0037038A">
        <w:rPr>
          <w:rFonts w:ascii="Arial" w:hAnsi="Arial" w:cs="Arial"/>
          <w:sz w:val="22"/>
          <w:szCs w:val="22"/>
        </w:rPr>
        <w:t xml:space="preserve">Rámcové programy získaly za dobu svého trvání dobrou pověst </w:t>
      </w:r>
      <w:r w:rsidR="00D76337" w:rsidRPr="0037038A">
        <w:rPr>
          <w:rFonts w:ascii="Arial" w:hAnsi="Arial" w:cs="Arial"/>
          <w:sz w:val="22"/>
          <w:szCs w:val="22"/>
        </w:rPr>
        <w:t xml:space="preserve">u </w:t>
      </w:r>
      <w:r w:rsidRPr="0037038A">
        <w:rPr>
          <w:rFonts w:ascii="Arial" w:hAnsi="Arial" w:cs="Arial"/>
          <w:sz w:val="22"/>
          <w:szCs w:val="22"/>
        </w:rPr>
        <w:t>mezinárodní vědecké komunit</w:t>
      </w:r>
      <w:r w:rsidR="00D76337" w:rsidRPr="0037038A">
        <w:rPr>
          <w:rFonts w:ascii="Arial" w:hAnsi="Arial" w:cs="Arial"/>
          <w:sz w:val="22"/>
          <w:szCs w:val="22"/>
        </w:rPr>
        <w:t>y</w:t>
      </w:r>
      <w:r w:rsidRPr="0037038A">
        <w:rPr>
          <w:rFonts w:ascii="Arial" w:hAnsi="Arial" w:cs="Arial"/>
          <w:sz w:val="22"/>
          <w:szCs w:val="22"/>
        </w:rPr>
        <w:t>. Programy v pilíři Excelentní věda podporují originální myšlenky, novátorské výzkumné projekty, které si kladou za cíl překročit stávající hranice poznání v jednotlivých oborech, resp. napříč obory. Předložené granty musí mít ambici výrazně ovlivnit daný obor, posunout stávající hranice poznání a otevřít tak nové výzkumné perspektivy.</w:t>
      </w:r>
    </w:p>
    <w:p w:rsidR="00734EE9" w:rsidRPr="0037038A" w:rsidRDefault="00734EE9" w:rsidP="00D76337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37038A">
        <w:rPr>
          <w:rFonts w:ascii="Arial" w:hAnsi="Arial" w:cs="Arial"/>
          <w:sz w:val="22"/>
          <w:szCs w:val="22"/>
        </w:rPr>
        <w:lastRenderedPageBreak/>
        <w:t>Udělení grantu E</w:t>
      </w:r>
      <w:r w:rsidR="00D76337" w:rsidRPr="0037038A">
        <w:rPr>
          <w:rFonts w:ascii="Arial" w:hAnsi="Arial" w:cs="Arial"/>
          <w:sz w:val="22"/>
          <w:szCs w:val="22"/>
        </w:rPr>
        <w:t>CR</w:t>
      </w:r>
      <w:r w:rsidRPr="0037038A">
        <w:rPr>
          <w:rFonts w:ascii="Arial" w:hAnsi="Arial" w:cs="Arial"/>
          <w:sz w:val="22"/>
          <w:szCs w:val="22"/>
        </w:rPr>
        <w:t xml:space="preserve"> je prestižní</w:t>
      </w:r>
      <w:r w:rsidR="00D76337" w:rsidRPr="0037038A">
        <w:rPr>
          <w:rFonts w:ascii="Arial" w:hAnsi="Arial" w:cs="Arial"/>
          <w:sz w:val="22"/>
          <w:szCs w:val="22"/>
        </w:rPr>
        <w:t>m</w:t>
      </w:r>
      <w:r w:rsidRPr="0037038A">
        <w:rPr>
          <w:rFonts w:ascii="Arial" w:hAnsi="Arial" w:cs="Arial"/>
          <w:sz w:val="22"/>
          <w:szCs w:val="22"/>
        </w:rPr>
        <w:t xml:space="preserve"> ocenění</w:t>
      </w:r>
      <w:r w:rsidR="00D76337" w:rsidRPr="0037038A">
        <w:rPr>
          <w:rFonts w:ascii="Arial" w:hAnsi="Arial" w:cs="Arial"/>
          <w:sz w:val="22"/>
          <w:szCs w:val="22"/>
        </w:rPr>
        <w:t>m</w:t>
      </w:r>
      <w:r w:rsidRPr="0037038A">
        <w:rPr>
          <w:rFonts w:ascii="Arial" w:hAnsi="Arial" w:cs="Arial"/>
          <w:sz w:val="22"/>
          <w:szCs w:val="22"/>
        </w:rPr>
        <w:t xml:space="preserve"> a zároveň </w:t>
      </w:r>
      <w:r w:rsidR="00F65F3A" w:rsidRPr="0037038A">
        <w:rPr>
          <w:rFonts w:ascii="Arial" w:hAnsi="Arial" w:cs="Arial"/>
          <w:sz w:val="22"/>
          <w:szCs w:val="22"/>
        </w:rPr>
        <w:t>měřítkem</w:t>
      </w:r>
      <w:r w:rsidRPr="0037038A">
        <w:rPr>
          <w:rFonts w:ascii="Arial" w:hAnsi="Arial" w:cs="Arial"/>
          <w:sz w:val="22"/>
          <w:szCs w:val="22"/>
        </w:rPr>
        <w:t xml:space="preserve"> kvality vědy a</w:t>
      </w:r>
      <w:r w:rsidR="00F65F3A" w:rsidRPr="0037038A">
        <w:rPr>
          <w:rFonts w:ascii="Arial" w:hAnsi="Arial" w:cs="Arial"/>
          <w:sz w:val="22"/>
          <w:szCs w:val="22"/>
        </w:rPr>
        <w:t> </w:t>
      </w:r>
      <w:r w:rsidRPr="0037038A">
        <w:rPr>
          <w:rFonts w:ascii="Arial" w:hAnsi="Arial" w:cs="Arial"/>
          <w:sz w:val="22"/>
          <w:szCs w:val="22"/>
        </w:rPr>
        <w:t>výzkumu v jednotlivých zemích i výzkumných institucích.</w:t>
      </w:r>
      <w:r w:rsidR="00F65F3A" w:rsidRPr="0037038A">
        <w:rPr>
          <w:rFonts w:ascii="Arial" w:hAnsi="Arial" w:cs="Arial"/>
          <w:sz w:val="22"/>
          <w:szCs w:val="22"/>
        </w:rPr>
        <w:t xml:space="preserve"> Zájem o jeho získání</w:t>
      </w:r>
      <w:r w:rsidRPr="0037038A">
        <w:rPr>
          <w:rFonts w:ascii="Arial" w:hAnsi="Arial" w:cs="Arial"/>
          <w:sz w:val="22"/>
          <w:szCs w:val="22"/>
        </w:rPr>
        <w:t xml:space="preserve"> </w:t>
      </w:r>
      <w:r w:rsidR="00F65F3A" w:rsidRPr="0037038A">
        <w:rPr>
          <w:rFonts w:ascii="Arial" w:hAnsi="Arial" w:cs="Arial"/>
          <w:sz w:val="22"/>
          <w:szCs w:val="22"/>
        </w:rPr>
        <w:t>narůstá i mezi českými vědci.</w:t>
      </w:r>
    </w:p>
    <w:p w:rsidR="00734EE9" w:rsidRPr="005116B5" w:rsidRDefault="0026521D" w:rsidP="005257D1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5116B5">
        <w:rPr>
          <w:rFonts w:ascii="Arial" w:hAnsi="Arial" w:cs="Arial"/>
          <w:b/>
          <w:color w:val="0070C0"/>
          <w:sz w:val="28"/>
          <w:szCs w:val="28"/>
        </w:rPr>
        <w:t xml:space="preserve">Vyjádření Komise 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pro ho</w:t>
      </w:r>
      <w:r w:rsidR="005116B5">
        <w:rPr>
          <w:rFonts w:ascii="Arial" w:hAnsi="Arial" w:cs="Arial"/>
          <w:b/>
          <w:color w:val="0070C0"/>
          <w:sz w:val="28"/>
          <w:szCs w:val="28"/>
        </w:rPr>
        <w:t>dnocení výzkumných organizací a 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ukončených programů</w:t>
      </w:r>
    </w:p>
    <w:p w:rsidR="00341A14" w:rsidRPr="00D32F51" w:rsidRDefault="0026521D" w:rsidP="00341A14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D32F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Program byl podle Postupu Rady při hodnocení návrhů programů účelové podpory a skupin grantových projektů schváleném na 351. zasedání dne 29. listopadu 2019 předložen dne </w:t>
      </w:r>
      <w:r w:rsidR="00341A14" w:rsidRPr="00D32F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12</w:t>
      </w:r>
      <w:r w:rsidRPr="00D32F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září 2022 na jednání Komise </w:t>
      </w:r>
      <w:r w:rsidR="005257D1" w:rsidRPr="005257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 ho</w:t>
      </w:r>
      <w:r w:rsidR="005257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dnocení výzkumných organizací a </w:t>
      </w:r>
      <w:r w:rsidR="005257D1" w:rsidRPr="005257D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ukončených programů</w:t>
      </w:r>
      <w:r w:rsidRPr="00D32F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(dále jen „KHV“</w:t>
      </w:r>
      <w:r w:rsidR="00341A14" w:rsidRPr="00D32F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).</w:t>
      </w:r>
    </w:p>
    <w:p w:rsidR="00341A14" w:rsidRPr="00D32F51" w:rsidRDefault="00341A14" w:rsidP="00341A14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D32F51">
        <w:rPr>
          <w:rFonts w:ascii="Arial" w:hAnsi="Arial" w:cs="Arial"/>
          <w:sz w:val="22"/>
          <w:szCs w:val="22"/>
        </w:rPr>
        <w:t>KHV podporuje prodloužení programu ERC CZ do roku 2032 včetně požadovaného navýšení rozpočtu programu.</w:t>
      </w:r>
    </w:p>
    <w:p w:rsidR="00341A14" w:rsidRDefault="00341A14" w:rsidP="005257D1">
      <w:pPr>
        <w:keepNext/>
        <w:keepLines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D32F51">
        <w:rPr>
          <w:rFonts w:ascii="Arial" w:hAnsi="Arial" w:cs="Arial"/>
          <w:sz w:val="22"/>
          <w:szCs w:val="22"/>
        </w:rPr>
        <w:t xml:space="preserve">KHV zároveň doporučuje poskytovateli podpory, aby se výrazněji zaměřil na vyhodnocování dopadů podpory poskytnuté v rámci programu ERC CZ.  </w:t>
      </w:r>
      <w:r w:rsidR="005257D1" w:rsidRPr="005257D1">
        <w:rPr>
          <w:rFonts w:ascii="Arial" w:hAnsi="Arial" w:cs="Arial"/>
          <w:sz w:val="22"/>
          <w:szCs w:val="22"/>
        </w:rPr>
        <w:t>Celkový počet uplatněných výsledků, případně i jednotlivých typů výsl</w:t>
      </w:r>
      <w:r w:rsidR="005116B5">
        <w:rPr>
          <w:rFonts w:ascii="Arial" w:hAnsi="Arial" w:cs="Arial"/>
          <w:sz w:val="22"/>
          <w:szCs w:val="22"/>
        </w:rPr>
        <w:t>edků, vypovídá jen velmi málo o </w:t>
      </w:r>
      <w:r w:rsidR="005257D1" w:rsidRPr="005257D1">
        <w:rPr>
          <w:rFonts w:ascii="Arial" w:hAnsi="Arial" w:cs="Arial"/>
          <w:sz w:val="22"/>
          <w:szCs w:val="22"/>
        </w:rPr>
        <w:t>schopnosti programu dosahovat těchto cílů.</w:t>
      </w:r>
      <w:r w:rsidR="005257D1">
        <w:rPr>
          <w:rFonts w:ascii="Arial" w:hAnsi="Arial" w:cs="Arial"/>
          <w:sz w:val="22"/>
          <w:szCs w:val="22"/>
        </w:rPr>
        <w:t xml:space="preserve"> </w:t>
      </w:r>
      <w:r w:rsidR="005257D1" w:rsidRPr="005257D1">
        <w:rPr>
          <w:rFonts w:ascii="Arial" w:hAnsi="Arial" w:cs="Arial"/>
          <w:sz w:val="22"/>
          <w:szCs w:val="22"/>
        </w:rPr>
        <w:t>Hodnocení programu ERC CZ by se proto mělo zaměřit nikoli na celkový počet výsledků, ale na dosahování vynikajících výsledků</w:t>
      </w:r>
      <w:r w:rsidR="005257D1">
        <w:rPr>
          <w:rFonts w:ascii="Arial" w:hAnsi="Arial" w:cs="Arial"/>
          <w:sz w:val="22"/>
          <w:szCs w:val="22"/>
        </w:rPr>
        <w:t>.</w:t>
      </w:r>
    </w:p>
    <w:p w:rsidR="005257D1" w:rsidRPr="005257D1" w:rsidRDefault="005257D1" w:rsidP="005257D1">
      <w:pPr>
        <w:keepNext/>
        <w:keepLines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5257D1">
        <w:rPr>
          <w:rFonts w:ascii="Arial" w:hAnsi="Arial" w:cs="Arial"/>
          <w:sz w:val="22"/>
          <w:szCs w:val="22"/>
        </w:rPr>
        <w:t>KHV dále považuje za žádoucí, aby kvalita výsledků dosahovaných v rámci projektů podpořených z programu ERC CZ byla porovnána s k</w:t>
      </w:r>
      <w:r w:rsidR="005116B5">
        <w:rPr>
          <w:rFonts w:ascii="Arial" w:hAnsi="Arial" w:cs="Arial"/>
          <w:sz w:val="22"/>
          <w:szCs w:val="22"/>
        </w:rPr>
        <w:t>valitou výsledků dosahovaných v </w:t>
      </w:r>
      <w:r w:rsidRPr="005257D1">
        <w:rPr>
          <w:rFonts w:ascii="Arial" w:hAnsi="Arial" w:cs="Arial"/>
          <w:sz w:val="22"/>
          <w:szCs w:val="22"/>
        </w:rPr>
        <w:t>rámci projektů podpořených z jiných programů zaměřených na excelentní výzkum. Například Standardní granty Grantové agentury České republiky představují přirozený “</w:t>
      </w:r>
      <w:proofErr w:type="spellStart"/>
      <w:r w:rsidRPr="005257D1">
        <w:rPr>
          <w:rFonts w:ascii="Arial" w:hAnsi="Arial" w:cs="Arial"/>
          <w:sz w:val="22"/>
          <w:szCs w:val="22"/>
        </w:rPr>
        <w:t>benchmark</w:t>
      </w:r>
      <w:proofErr w:type="spellEnd"/>
      <w:r w:rsidRPr="005257D1">
        <w:rPr>
          <w:rFonts w:ascii="Arial" w:hAnsi="Arial" w:cs="Arial"/>
          <w:sz w:val="22"/>
          <w:szCs w:val="22"/>
        </w:rPr>
        <w:t>”, přičemž vzhledem k zaměření programu ERC CZ na mezinárodně excelentní vědce a projekty, by ambicí programu ERC CZ mělo být, aby podpořené projekty kvalitou svých výstupů předčily projekty Standardních grantů.</w:t>
      </w:r>
    </w:p>
    <w:p w:rsidR="005257D1" w:rsidRDefault="005257D1" w:rsidP="005257D1">
      <w:pPr>
        <w:keepNext/>
        <w:keepLines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5257D1">
        <w:rPr>
          <w:rFonts w:ascii="Arial" w:hAnsi="Arial" w:cs="Arial"/>
          <w:sz w:val="22"/>
          <w:szCs w:val="22"/>
        </w:rPr>
        <w:t xml:space="preserve">Očekávané přínosy dále zahrnují “posílení zahraniční spolupráce”, “rozvoj konkrétních českých výzkumných pracovišť, včetně rozvoje lidských zdrojů” a “zvýšení konkurenceschopnosti České republiky v oblasti </w:t>
      </w:r>
      <w:proofErr w:type="spellStart"/>
      <w:r w:rsidRPr="005257D1">
        <w:rPr>
          <w:rFonts w:ascii="Arial" w:hAnsi="Arial" w:cs="Arial"/>
          <w:sz w:val="22"/>
          <w:szCs w:val="22"/>
        </w:rPr>
        <w:t>VaVaI</w:t>
      </w:r>
      <w:proofErr w:type="spellEnd"/>
      <w:r w:rsidRPr="005257D1">
        <w:rPr>
          <w:rFonts w:ascii="Arial" w:hAnsi="Arial" w:cs="Arial"/>
          <w:sz w:val="22"/>
          <w:szCs w:val="22"/>
        </w:rPr>
        <w:t>”. Hodnocení programu by se tedy mělo pokusit kvantifikovat přínos programu také v této oblasti, například skrze dopad programu na výsledky dosažené v rámci mezinárodní spolupráce a na mobilitu špičkových vědců.</w:t>
      </w:r>
    </w:p>
    <w:p w:rsidR="005116B5" w:rsidRPr="00D32F51" w:rsidRDefault="005116B5" w:rsidP="005257D1">
      <w:pPr>
        <w:keepNext/>
        <w:keepLines/>
        <w:spacing w:after="120"/>
        <w:ind w:left="357"/>
        <w:jc w:val="both"/>
        <w:rPr>
          <w:rFonts w:ascii="Arial" w:hAnsi="Arial" w:cs="Arial"/>
          <w:sz w:val="22"/>
          <w:szCs w:val="22"/>
        </w:rPr>
      </w:pPr>
    </w:p>
    <w:p w:rsidR="00BA3F02" w:rsidRDefault="00BA3F02" w:rsidP="00BA3F02">
      <w:pPr>
        <w:pStyle w:val="Odstavecseseznamem"/>
        <w:numPr>
          <w:ilvl w:val="0"/>
          <w:numId w:val="2"/>
        </w:numPr>
        <w:spacing w:after="120"/>
        <w:ind w:left="1077"/>
        <w:rPr>
          <w:rFonts w:ascii="Arial" w:hAnsi="Arial" w:cs="Arial"/>
          <w:b/>
          <w:color w:val="0070C0"/>
          <w:sz w:val="28"/>
          <w:szCs w:val="28"/>
        </w:rPr>
      </w:pPr>
      <w:r w:rsidRPr="00BA3F02">
        <w:rPr>
          <w:rFonts w:ascii="Arial" w:hAnsi="Arial" w:cs="Arial"/>
          <w:b/>
          <w:color w:val="0070C0"/>
          <w:sz w:val="28"/>
          <w:szCs w:val="28"/>
        </w:rPr>
        <w:t>Hodnocení návrhu na změnu Programu Radou</w:t>
      </w:r>
    </w:p>
    <w:p w:rsidR="008B6EE7" w:rsidRPr="001E26B9" w:rsidRDefault="008B6EE7" w:rsidP="001E26B9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1E26B9">
        <w:rPr>
          <w:rFonts w:ascii="Arial" w:hAnsi="Arial" w:cs="Arial"/>
          <w:sz w:val="22"/>
          <w:szCs w:val="22"/>
        </w:rPr>
        <w:t>Hodnocený návrh na změnu Programu umožňuje podpořit projekty mezinárodně uznávaných vědeckých pracovníků, jejichž hostitelem je česká instituce a kteří při podání svých projektů do výzev Evropské výzkumné Rady uspěli v náročném hodnocení odb</w:t>
      </w:r>
      <w:r w:rsidR="001E26B9">
        <w:rPr>
          <w:rFonts w:ascii="Arial" w:hAnsi="Arial" w:cs="Arial"/>
          <w:sz w:val="22"/>
          <w:szCs w:val="22"/>
        </w:rPr>
        <w:t>o</w:t>
      </w:r>
      <w:r w:rsidRPr="001E26B9">
        <w:rPr>
          <w:rFonts w:ascii="Arial" w:hAnsi="Arial" w:cs="Arial"/>
          <w:sz w:val="22"/>
          <w:szCs w:val="22"/>
        </w:rPr>
        <w:t xml:space="preserve">rnými panely ERC, ale </w:t>
      </w:r>
      <w:r w:rsidR="001E26B9">
        <w:rPr>
          <w:rFonts w:ascii="Arial" w:hAnsi="Arial" w:cs="Arial"/>
          <w:sz w:val="22"/>
          <w:szCs w:val="22"/>
        </w:rPr>
        <w:t xml:space="preserve">pro nedostatek finančních prostředků </w:t>
      </w:r>
      <w:r w:rsidRPr="001E26B9">
        <w:rPr>
          <w:rFonts w:ascii="Arial" w:hAnsi="Arial" w:cs="Arial"/>
          <w:sz w:val="22"/>
          <w:szCs w:val="22"/>
        </w:rPr>
        <w:t>nezískaly podporu z</w:t>
      </w:r>
      <w:r w:rsidR="001E26B9">
        <w:rPr>
          <w:rFonts w:ascii="Arial" w:hAnsi="Arial" w:cs="Arial"/>
          <w:sz w:val="22"/>
          <w:szCs w:val="22"/>
        </w:rPr>
        <w:t> </w:t>
      </w:r>
      <w:r w:rsidRPr="001E26B9">
        <w:rPr>
          <w:rFonts w:ascii="Arial" w:hAnsi="Arial" w:cs="Arial"/>
          <w:sz w:val="22"/>
          <w:szCs w:val="22"/>
        </w:rPr>
        <w:t>evropských prostředků.</w:t>
      </w:r>
    </w:p>
    <w:p w:rsidR="002B1A47" w:rsidRPr="001E26B9" w:rsidRDefault="00BA3F02" w:rsidP="00E42695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357"/>
        <w:contextualSpacing w:val="0"/>
        <w:jc w:val="both"/>
        <w:rPr>
          <w:rFonts w:ascii="Arial" w:hAnsi="Arial" w:cs="Arial"/>
        </w:rPr>
      </w:pPr>
      <w:r w:rsidRPr="001E26B9">
        <w:rPr>
          <w:rFonts w:ascii="Arial" w:hAnsi="Arial" w:cs="Arial"/>
        </w:rPr>
        <w:t xml:space="preserve">Program je v souladu s Národní politikou výzkumu, vývoje a inovací České republiky 2021+, neboť podporuje excelentní výzkum v České republice a zároveň se jeho realizací </w:t>
      </w:r>
      <w:r w:rsidR="002B1A47" w:rsidRPr="001E26B9">
        <w:rPr>
          <w:rFonts w:ascii="Arial" w:hAnsi="Arial" w:cs="Arial"/>
        </w:rPr>
        <w:t>p</w:t>
      </w:r>
      <w:r w:rsidRPr="001E26B9">
        <w:rPr>
          <w:rFonts w:ascii="Arial" w:hAnsi="Arial" w:cs="Arial"/>
        </w:rPr>
        <w:t xml:space="preserve">odaří zabránit i </w:t>
      </w:r>
      <w:r w:rsidR="002B1A47" w:rsidRPr="001E26B9">
        <w:rPr>
          <w:rFonts w:ascii="Arial" w:hAnsi="Arial" w:cs="Arial"/>
        </w:rPr>
        <w:t xml:space="preserve">odcestování výzkumníků do zahraničí. </w:t>
      </w:r>
      <w:r w:rsidRPr="001E26B9">
        <w:rPr>
          <w:rFonts w:ascii="Arial" w:hAnsi="Arial" w:cs="Arial"/>
        </w:rPr>
        <w:t>Program stimuluje vědce k podávání projektů do výzev ERC</w:t>
      </w:r>
      <w:r w:rsidR="001E26B9" w:rsidRPr="001E26B9">
        <w:rPr>
          <w:rFonts w:ascii="Arial" w:hAnsi="Arial" w:cs="Arial"/>
        </w:rPr>
        <w:t>,</w:t>
      </w:r>
      <w:r w:rsidRPr="001E26B9">
        <w:rPr>
          <w:rFonts w:ascii="Arial" w:hAnsi="Arial" w:cs="Arial"/>
        </w:rPr>
        <w:t xml:space="preserve"> přispívá i k růstu kvality </w:t>
      </w:r>
      <w:r w:rsidR="001E26B9" w:rsidRPr="001E26B9">
        <w:rPr>
          <w:rFonts w:ascii="Arial" w:hAnsi="Arial" w:cs="Arial"/>
        </w:rPr>
        <w:t xml:space="preserve">předkládaných </w:t>
      </w:r>
      <w:r w:rsidRPr="001E26B9">
        <w:rPr>
          <w:rFonts w:ascii="Arial" w:hAnsi="Arial" w:cs="Arial"/>
        </w:rPr>
        <w:t>projekt</w:t>
      </w:r>
      <w:r w:rsidR="00CB6996">
        <w:rPr>
          <w:rFonts w:ascii="Arial" w:hAnsi="Arial" w:cs="Arial"/>
        </w:rPr>
        <w:t>ů a </w:t>
      </w:r>
      <w:r w:rsidR="001E26B9" w:rsidRPr="001E26B9">
        <w:rPr>
          <w:rFonts w:ascii="Arial" w:hAnsi="Arial" w:cs="Arial"/>
        </w:rPr>
        <w:t>za</w:t>
      </w:r>
      <w:r w:rsidRPr="001E26B9">
        <w:rPr>
          <w:rFonts w:ascii="Arial" w:hAnsi="Arial" w:cs="Arial"/>
        </w:rPr>
        <w:t>hrnuje</w:t>
      </w:r>
      <w:r w:rsidR="001E26B9" w:rsidRPr="001E26B9">
        <w:rPr>
          <w:rFonts w:ascii="Arial" w:hAnsi="Arial" w:cs="Arial"/>
        </w:rPr>
        <w:t xml:space="preserve"> i</w:t>
      </w:r>
      <w:r w:rsidRPr="001E26B9">
        <w:rPr>
          <w:rFonts w:ascii="Arial" w:hAnsi="Arial" w:cs="Arial"/>
        </w:rPr>
        <w:t xml:space="preserve"> motivační nástroj v podobě povinnosti řešitele nejpozději</w:t>
      </w:r>
      <w:r w:rsidR="001E26B9" w:rsidRPr="001E26B9">
        <w:rPr>
          <w:rFonts w:ascii="Arial" w:hAnsi="Arial" w:cs="Arial"/>
        </w:rPr>
        <w:t> </w:t>
      </w:r>
      <w:r w:rsidR="00CB6996">
        <w:rPr>
          <w:rFonts w:ascii="Arial" w:hAnsi="Arial" w:cs="Arial"/>
        </w:rPr>
        <w:t>do dvou let od </w:t>
      </w:r>
      <w:r w:rsidRPr="001E26B9">
        <w:rPr>
          <w:rFonts w:ascii="Arial" w:hAnsi="Arial" w:cs="Arial"/>
        </w:rPr>
        <w:t xml:space="preserve">zahájení financování projektu z národních zdrojů </w:t>
      </w:r>
      <w:r w:rsidR="00CB6996">
        <w:rPr>
          <w:rFonts w:ascii="Arial" w:hAnsi="Arial" w:cs="Arial"/>
        </w:rPr>
        <w:t>podat přiměřeně upravený, resp. </w:t>
      </w:r>
      <w:r w:rsidRPr="001E26B9">
        <w:rPr>
          <w:rFonts w:ascii="Arial" w:hAnsi="Arial" w:cs="Arial"/>
        </w:rPr>
        <w:t xml:space="preserve">dopracovaný návrh projektu do výzvy ERC. </w:t>
      </w:r>
    </w:p>
    <w:p w:rsidR="005116B5" w:rsidRDefault="00E42695" w:rsidP="005116B5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považuje </w:t>
      </w:r>
      <w:r w:rsidR="001E26B9" w:rsidRPr="001E26B9">
        <w:rPr>
          <w:rFonts w:ascii="Arial" w:hAnsi="Arial" w:cs="Arial"/>
        </w:rPr>
        <w:t>Program pro českou i světovou vědu za přínosný.</w:t>
      </w:r>
    </w:p>
    <w:p w:rsidR="005116B5" w:rsidRDefault="005116B5">
      <w:pPr>
        <w:spacing w:after="200" w:line="276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:rsidR="00BF1715" w:rsidRDefault="002B1A47" w:rsidP="00D32F51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lastRenderedPageBreak/>
        <w:t>P</w:t>
      </w:r>
      <w:r w:rsidR="00BF1715" w:rsidRPr="002B1A47">
        <w:rPr>
          <w:rFonts w:ascii="Arial" w:hAnsi="Arial" w:cs="Arial"/>
          <w:b/>
          <w:color w:val="0070C0"/>
          <w:sz w:val="28"/>
          <w:szCs w:val="28"/>
        </w:rPr>
        <w:t>řipomínky a doporučení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Rady</w:t>
      </w:r>
    </w:p>
    <w:p w:rsidR="00027A0F" w:rsidRPr="00BA3F02" w:rsidRDefault="00610729" w:rsidP="00C64375">
      <w:pPr>
        <w:pStyle w:val="Odstavecseseznamem"/>
        <w:numPr>
          <w:ilvl w:val="0"/>
          <w:numId w:val="9"/>
        </w:numPr>
        <w:spacing w:after="120"/>
        <w:contextualSpacing w:val="0"/>
        <w:rPr>
          <w:rFonts w:ascii="Arial" w:hAnsi="Arial" w:cs="Arial"/>
          <w:b/>
          <w:sz w:val="22"/>
          <w:szCs w:val="22"/>
        </w:rPr>
      </w:pPr>
      <w:r w:rsidRPr="00BA3F02">
        <w:rPr>
          <w:rFonts w:ascii="Arial" w:hAnsi="Arial" w:cs="Arial"/>
          <w:b/>
          <w:sz w:val="22"/>
          <w:szCs w:val="22"/>
        </w:rPr>
        <w:t>Připomínky k dokumentu předkládaném</w:t>
      </w:r>
      <w:r w:rsidR="0040468E" w:rsidRPr="00BA3F02">
        <w:rPr>
          <w:rFonts w:ascii="Arial" w:hAnsi="Arial" w:cs="Arial"/>
          <w:b/>
          <w:sz w:val="22"/>
          <w:szCs w:val="22"/>
        </w:rPr>
        <w:t>u</w:t>
      </w:r>
      <w:r w:rsidRPr="00BA3F02">
        <w:rPr>
          <w:rFonts w:ascii="Arial" w:hAnsi="Arial" w:cs="Arial"/>
          <w:b/>
          <w:sz w:val="22"/>
          <w:szCs w:val="22"/>
        </w:rPr>
        <w:t xml:space="preserve"> na jednání vlády:</w:t>
      </w:r>
    </w:p>
    <w:p w:rsidR="0040468E" w:rsidRPr="00BA3F02" w:rsidRDefault="0040468E" w:rsidP="00C64375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Arial" w:hAnsi="Arial" w:cs="Arial"/>
          <w:b/>
          <w:sz w:val="22"/>
          <w:szCs w:val="22"/>
        </w:rPr>
      </w:pPr>
      <w:r w:rsidRPr="00BA3F02">
        <w:rPr>
          <w:rFonts w:ascii="Arial" w:hAnsi="Arial" w:cs="Arial"/>
          <w:b/>
          <w:sz w:val="22"/>
          <w:szCs w:val="22"/>
        </w:rPr>
        <w:t>K předkládací zprávě:</w:t>
      </w:r>
    </w:p>
    <w:p w:rsidR="00027A0F" w:rsidRPr="008B6EE7" w:rsidRDefault="00027A0F" w:rsidP="008B6EE7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2"/>
          <w:szCs w:val="22"/>
          <w:u w:val="single"/>
        </w:rPr>
      </w:pPr>
      <w:r w:rsidRPr="008B6EE7">
        <w:rPr>
          <w:rFonts w:ascii="Arial" w:hAnsi="Arial" w:cs="Arial"/>
          <w:sz w:val="22"/>
          <w:szCs w:val="22"/>
          <w:u w:val="single"/>
        </w:rPr>
        <w:t>Zásadní připomínka:</w:t>
      </w:r>
    </w:p>
    <w:p w:rsidR="000D3E70" w:rsidRPr="00BA3F02" w:rsidRDefault="00027A0F" w:rsidP="00C64375">
      <w:pPr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BA3F02">
        <w:rPr>
          <w:rFonts w:ascii="Arial" w:hAnsi="Arial" w:cs="Arial"/>
          <w:sz w:val="22"/>
          <w:szCs w:val="22"/>
        </w:rPr>
        <w:t>Předkládací zpráv</w:t>
      </w:r>
      <w:r w:rsidR="001249D9">
        <w:rPr>
          <w:rFonts w:ascii="Arial" w:hAnsi="Arial" w:cs="Arial"/>
          <w:sz w:val="22"/>
          <w:szCs w:val="22"/>
        </w:rPr>
        <w:t>a</w:t>
      </w:r>
      <w:r w:rsidR="000D3E70" w:rsidRPr="00BA3F02">
        <w:rPr>
          <w:rFonts w:ascii="Arial" w:hAnsi="Arial" w:cs="Arial"/>
          <w:sz w:val="22"/>
          <w:szCs w:val="22"/>
        </w:rPr>
        <w:t xml:space="preserve"> k návrhu na změnu Programu </w:t>
      </w:r>
      <w:r w:rsidR="001249D9">
        <w:rPr>
          <w:rFonts w:ascii="Arial" w:hAnsi="Arial" w:cs="Arial"/>
          <w:sz w:val="22"/>
          <w:szCs w:val="22"/>
        </w:rPr>
        <w:t xml:space="preserve">zahrnuje </w:t>
      </w:r>
      <w:r w:rsidR="00601FDA">
        <w:rPr>
          <w:rFonts w:ascii="Arial" w:hAnsi="Arial" w:cs="Arial"/>
          <w:sz w:val="22"/>
          <w:szCs w:val="22"/>
        </w:rPr>
        <w:t>část Odůvodnění změny (prodloužení) programu ERC CZ. Zde jsou mimo jiné</w:t>
      </w:r>
      <w:r w:rsidR="001249D9">
        <w:rPr>
          <w:rFonts w:ascii="Arial" w:hAnsi="Arial" w:cs="Arial"/>
          <w:sz w:val="22"/>
          <w:szCs w:val="22"/>
        </w:rPr>
        <w:t xml:space="preserve"> </w:t>
      </w:r>
      <w:r w:rsidR="000D3E70" w:rsidRPr="00BA3F02">
        <w:rPr>
          <w:rFonts w:ascii="Arial" w:hAnsi="Arial" w:cs="Arial"/>
          <w:sz w:val="22"/>
          <w:szCs w:val="22"/>
        </w:rPr>
        <w:t>uvedeny přínosy</w:t>
      </w:r>
      <w:r w:rsidR="001249D9">
        <w:rPr>
          <w:rFonts w:ascii="Arial" w:hAnsi="Arial" w:cs="Arial"/>
          <w:sz w:val="22"/>
          <w:szCs w:val="22"/>
        </w:rPr>
        <w:t xml:space="preserve"> Programu</w:t>
      </w:r>
      <w:r w:rsidR="000D3E70" w:rsidRPr="00BA3F02">
        <w:rPr>
          <w:rFonts w:ascii="Arial" w:hAnsi="Arial" w:cs="Arial"/>
          <w:sz w:val="22"/>
          <w:szCs w:val="22"/>
        </w:rPr>
        <w:t xml:space="preserve">, nárůst počtu </w:t>
      </w:r>
      <w:r w:rsidR="001249D9">
        <w:rPr>
          <w:rFonts w:ascii="Arial" w:hAnsi="Arial" w:cs="Arial"/>
          <w:sz w:val="22"/>
          <w:szCs w:val="22"/>
        </w:rPr>
        <w:t>projektů podaných za ČR do výzev ERC HORIZON 2020 za ČR a popsány některé úspěšné výsledky</w:t>
      </w:r>
      <w:r w:rsidR="008B6EE7">
        <w:rPr>
          <w:rFonts w:ascii="Arial" w:hAnsi="Arial" w:cs="Arial"/>
          <w:sz w:val="22"/>
          <w:szCs w:val="22"/>
        </w:rPr>
        <w:t>.</w:t>
      </w:r>
    </w:p>
    <w:p w:rsidR="00C64375" w:rsidRDefault="000D3E70" w:rsidP="00C64375">
      <w:pPr>
        <w:spacing w:after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BA3F02">
        <w:rPr>
          <w:rFonts w:ascii="Arial" w:hAnsi="Arial" w:cs="Arial"/>
          <w:sz w:val="22"/>
          <w:szCs w:val="22"/>
        </w:rPr>
        <w:t xml:space="preserve">Rada </w:t>
      </w:r>
      <w:r w:rsidR="002E6D2C">
        <w:rPr>
          <w:rFonts w:ascii="Arial" w:hAnsi="Arial" w:cs="Arial"/>
          <w:sz w:val="22"/>
          <w:szCs w:val="22"/>
        </w:rPr>
        <w:t xml:space="preserve">žádá, aby </w:t>
      </w:r>
      <w:r w:rsidRPr="00BA3F02">
        <w:rPr>
          <w:rFonts w:ascii="Arial" w:hAnsi="Arial" w:cs="Arial"/>
          <w:sz w:val="22"/>
          <w:szCs w:val="22"/>
        </w:rPr>
        <w:t>poskytovatel</w:t>
      </w:r>
      <w:r w:rsidR="002E6D2C">
        <w:rPr>
          <w:rFonts w:ascii="Arial" w:hAnsi="Arial" w:cs="Arial"/>
          <w:sz w:val="22"/>
          <w:szCs w:val="22"/>
        </w:rPr>
        <w:t xml:space="preserve"> uvedené</w:t>
      </w:r>
      <w:r w:rsidRPr="00BA3F02">
        <w:rPr>
          <w:rFonts w:ascii="Arial" w:hAnsi="Arial" w:cs="Arial"/>
          <w:sz w:val="22"/>
          <w:szCs w:val="22"/>
        </w:rPr>
        <w:t xml:space="preserve"> údaje rozšířil a </w:t>
      </w:r>
      <w:r w:rsidR="00C64375" w:rsidRPr="00BA3F02">
        <w:rPr>
          <w:rFonts w:ascii="Arial" w:hAnsi="Arial" w:cs="Arial"/>
          <w:sz w:val="22"/>
          <w:szCs w:val="22"/>
        </w:rPr>
        <w:t xml:space="preserve">vytvořil z nich </w:t>
      </w:r>
      <w:r w:rsidR="00CB6996">
        <w:rPr>
          <w:rFonts w:ascii="Arial" w:hAnsi="Arial" w:cs="Arial"/>
          <w:sz w:val="22"/>
          <w:szCs w:val="22"/>
        </w:rPr>
        <w:t>samost</w:t>
      </w:r>
      <w:r w:rsidR="008B6EE7">
        <w:rPr>
          <w:rFonts w:ascii="Arial" w:hAnsi="Arial" w:cs="Arial"/>
          <w:sz w:val="22"/>
          <w:szCs w:val="22"/>
        </w:rPr>
        <w:t xml:space="preserve">atnou </w:t>
      </w:r>
      <w:r w:rsidR="00C64375" w:rsidRPr="00BA3F02">
        <w:rPr>
          <w:rFonts w:ascii="Arial" w:hAnsi="Arial" w:cs="Arial"/>
          <w:sz w:val="22"/>
          <w:szCs w:val="22"/>
        </w:rPr>
        <w:t>přílohu dokumentu s názvem Hodnocení dosavadního průběhu Programu a jeho výsledky.</w:t>
      </w:r>
      <w:r w:rsidR="00C64375" w:rsidRPr="00BA3F02">
        <w:rPr>
          <w:rFonts w:ascii="Arial" w:hAnsi="Arial" w:cs="Arial"/>
          <w:b/>
          <w:sz w:val="22"/>
          <w:szCs w:val="22"/>
        </w:rPr>
        <w:t xml:space="preserve"> </w:t>
      </w:r>
    </w:p>
    <w:p w:rsidR="002B1A47" w:rsidRDefault="002B1A47" w:rsidP="002B1A47">
      <w:pPr>
        <w:pStyle w:val="Odstavecseseznamem"/>
        <w:numPr>
          <w:ilvl w:val="0"/>
          <w:numId w:val="12"/>
        </w:numPr>
        <w:spacing w:after="120"/>
        <w:contextualSpacing w:val="0"/>
        <w:rPr>
          <w:rFonts w:ascii="Arial" w:hAnsi="Arial" w:cs="Arial"/>
          <w:b/>
          <w:sz w:val="22"/>
          <w:szCs w:val="22"/>
        </w:rPr>
      </w:pPr>
      <w:r w:rsidRPr="002B1A47">
        <w:rPr>
          <w:rFonts w:ascii="Arial" w:hAnsi="Arial" w:cs="Arial"/>
          <w:b/>
          <w:sz w:val="22"/>
          <w:szCs w:val="22"/>
        </w:rPr>
        <w:t>K materiálu:</w:t>
      </w:r>
    </w:p>
    <w:p w:rsidR="002B1A47" w:rsidRPr="008B6EE7" w:rsidRDefault="006A34F8" w:rsidP="008B6EE7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2"/>
          <w:szCs w:val="22"/>
          <w:u w:val="single"/>
        </w:rPr>
      </w:pPr>
      <w:r w:rsidRPr="008B6EE7">
        <w:rPr>
          <w:rFonts w:ascii="Arial" w:hAnsi="Arial" w:cs="Arial"/>
          <w:sz w:val="22"/>
          <w:szCs w:val="22"/>
          <w:u w:val="single"/>
        </w:rPr>
        <w:t>Zásadní připomínka:</w:t>
      </w:r>
    </w:p>
    <w:p w:rsidR="00C37615" w:rsidRDefault="00B7554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75545">
        <w:rPr>
          <w:rFonts w:ascii="Arial" w:hAnsi="Arial" w:cs="Arial"/>
          <w:sz w:val="22"/>
          <w:szCs w:val="22"/>
        </w:rPr>
        <w:t xml:space="preserve">Rada si je vědoma důležitosti a prospěšnosti </w:t>
      </w:r>
      <w:r w:rsidR="0093483B">
        <w:rPr>
          <w:rFonts w:ascii="Arial" w:hAnsi="Arial" w:cs="Arial"/>
          <w:sz w:val="22"/>
          <w:szCs w:val="22"/>
        </w:rPr>
        <w:t>P</w:t>
      </w:r>
      <w:r w:rsidRPr="00B75545">
        <w:rPr>
          <w:rFonts w:ascii="Arial" w:hAnsi="Arial" w:cs="Arial"/>
          <w:sz w:val="22"/>
          <w:szCs w:val="22"/>
        </w:rPr>
        <w:t>rogramu, nicméně je zapotřebí pohlédnout na fakt, že se jedná o program schválený v roce 2010 a dle návrhu MŠMT by měl trvat až</w:t>
      </w:r>
      <w:r w:rsidR="0093483B">
        <w:rPr>
          <w:rFonts w:ascii="Arial" w:hAnsi="Arial" w:cs="Arial"/>
          <w:sz w:val="22"/>
          <w:szCs w:val="22"/>
        </w:rPr>
        <w:t> </w:t>
      </w:r>
      <w:r w:rsidRPr="00B75545">
        <w:rPr>
          <w:rFonts w:ascii="Arial" w:hAnsi="Arial" w:cs="Arial"/>
          <w:sz w:val="22"/>
          <w:szCs w:val="22"/>
        </w:rPr>
        <w:t xml:space="preserve">do roku 2032, a proto je zapotřebí náležitě doložit opodstatněnost </w:t>
      </w:r>
      <w:r w:rsidR="0093483B">
        <w:rPr>
          <w:rFonts w:ascii="Arial" w:hAnsi="Arial" w:cs="Arial"/>
          <w:sz w:val="22"/>
          <w:szCs w:val="22"/>
        </w:rPr>
        <w:t>délky</w:t>
      </w:r>
      <w:r w:rsidRPr="00B75545">
        <w:rPr>
          <w:rFonts w:ascii="Arial" w:hAnsi="Arial" w:cs="Arial"/>
          <w:sz w:val="22"/>
          <w:szCs w:val="22"/>
        </w:rPr>
        <w:t xml:space="preserve"> trvání programu, ale především prostředků na něj vynaložených.</w:t>
      </w:r>
    </w:p>
    <w:p w:rsidR="00C37615" w:rsidRDefault="00C3761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proto upozorňuje, že podle</w:t>
      </w:r>
      <w:r w:rsidRPr="00C37615">
        <w:rPr>
          <w:rFonts w:ascii="Arial" w:hAnsi="Arial" w:cs="Arial"/>
          <w:sz w:val="22"/>
          <w:szCs w:val="22"/>
        </w:rPr>
        <w:t xml:space="preserve"> Základních principů přípravy a hodnocení programů a</w:t>
      </w:r>
      <w:r w:rsidR="002E6D2C">
        <w:rPr>
          <w:rFonts w:ascii="Arial" w:hAnsi="Arial" w:cs="Arial"/>
          <w:sz w:val="22"/>
          <w:szCs w:val="22"/>
        </w:rPr>
        <w:t> </w:t>
      </w:r>
      <w:r w:rsidRPr="00C37615">
        <w:rPr>
          <w:rFonts w:ascii="Arial" w:hAnsi="Arial" w:cs="Arial"/>
          <w:sz w:val="22"/>
          <w:szCs w:val="22"/>
        </w:rPr>
        <w:t>skupin grantových projektů výzkumu, vývoje a inovací, které byly schváleny usnesením vlády ze dne ze dne 13. května 2015 č. 351</w:t>
      </w:r>
      <w:r w:rsidR="00764202">
        <w:rPr>
          <w:rFonts w:ascii="Arial" w:hAnsi="Arial" w:cs="Arial"/>
          <w:sz w:val="22"/>
          <w:szCs w:val="22"/>
        </w:rPr>
        <w:t xml:space="preserve"> (část 3.2)</w:t>
      </w:r>
      <w:r w:rsidRPr="00C37615">
        <w:rPr>
          <w:rFonts w:ascii="Arial" w:hAnsi="Arial" w:cs="Arial"/>
          <w:sz w:val="22"/>
          <w:szCs w:val="22"/>
        </w:rPr>
        <w:t>, musí předložený dokument obsahovat průběžné hodnocení programu.</w:t>
      </w:r>
      <w:r w:rsidR="00B75545" w:rsidRPr="00B75545">
        <w:rPr>
          <w:rFonts w:ascii="Arial" w:hAnsi="Arial" w:cs="Arial"/>
          <w:sz w:val="22"/>
          <w:szCs w:val="22"/>
        </w:rPr>
        <w:t xml:space="preserve"> </w:t>
      </w:r>
      <w:r w:rsidRPr="00C37615">
        <w:rPr>
          <w:rFonts w:ascii="Arial" w:hAnsi="Arial" w:cs="Arial"/>
          <w:sz w:val="22"/>
          <w:szCs w:val="22"/>
        </w:rPr>
        <w:t>Protože MŠMT v žádosti na</w:t>
      </w:r>
      <w:r>
        <w:rPr>
          <w:rFonts w:ascii="Arial" w:hAnsi="Arial" w:cs="Arial"/>
          <w:sz w:val="22"/>
          <w:szCs w:val="22"/>
        </w:rPr>
        <w:t xml:space="preserve"> změnu ERC CZ v</w:t>
      </w:r>
      <w:r w:rsidR="0076420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roce 2016 uvedlo</w:t>
      </w:r>
      <w:r w:rsidRPr="00C37615">
        <w:rPr>
          <w:rFonts w:ascii="Arial" w:hAnsi="Arial" w:cs="Arial"/>
          <w:sz w:val="22"/>
          <w:szCs w:val="22"/>
        </w:rPr>
        <w:t xml:space="preserve">, že „Hodnocení výsledků projektů a hodnocení programu ERC CZ proběhne podle pokynů poskytovatele v období od ukončení podpory do 30. června 2022“, </w:t>
      </w:r>
      <w:r>
        <w:rPr>
          <w:rFonts w:ascii="Arial" w:hAnsi="Arial" w:cs="Arial"/>
          <w:sz w:val="22"/>
          <w:szCs w:val="22"/>
        </w:rPr>
        <w:t>lze předpokládat</w:t>
      </w:r>
      <w:r w:rsidRPr="00C37615">
        <w:rPr>
          <w:rFonts w:ascii="Arial" w:hAnsi="Arial" w:cs="Arial"/>
          <w:sz w:val="22"/>
          <w:szCs w:val="22"/>
        </w:rPr>
        <w:t xml:space="preserve">, že podrobnými podklady </w:t>
      </w:r>
      <w:r>
        <w:rPr>
          <w:rFonts w:ascii="Arial" w:hAnsi="Arial" w:cs="Arial"/>
          <w:sz w:val="22"/>
          <w:szCs w:val="22"/>
        </w:rPr>
        <w:t>k průběžnému hodnocení programu disponuje</w:t>
      </w:r>
      <w:r w:rsidR="005257D1">
        <w:rPr>
          <w:rFonts w:ascii="Arial" w:hAnsi="Arial" w:cs="Arial"/>
          <w:sz w:val="22"/>
          <w:szCs w:val="22"/>
        </w:rPr>
        <w:t>,</w:t>
      </w:r>
      <w:r w:rsidR="00764202">
        <w:rPr>
          <w:rFonts w:ascii="Arial" w:hAnsi="Arial" w:cs="Arial"/>
          <w:sz w:val="22"/>
          <w:szCs w:val="22"/>
        </w:rPr>
        <w:t xml:space="preserve"> a proto by mělo být přílohou dokumentu předkládaného na jednání vlády.</w:t>
      </w:r>
    </w:p>
    <w:p w:rsidR="00764202" w:rsidRPr="008B6EE7" w:rsidRDefault="00764202" w:rsidP="00764202">
      <w:pPr>
        <w:pStyle w:val="Odstavecseseznamem"/>
        <w:keepNext/>
        <w:numPr>
          <w:ilvl w:val="0"/>
          <w:numId w:val="22"/>
        </w:numPr>
        <w:spacing w:after="120"/>
        <w:ind w:left="1071" w:hanging="357"/>
        <w:contextualSpacing w:val="0"/>
        <w:rPr>
          <w:rFonts w:ascii="Arial" w:hAnsi="Arial" w:cs="Arial"/>
          <w:sz w:val="22"/>
          <w:szCs w:val="22"/>
          <w:u w:val="single"/>
        </w:rPr>
      </w:pPr>
      <w:r w:rsidRPr="008B6EE7">
        <w:rPr>
          <w:rFonts w:ascii="Arial" w:hAnsi="Arial" w:cs="Arial"/>
          <w:sz w:val="22"/>
          <w:szCs w:val="22"/>
          <w:u w:val="single"/>
        </w:rPr>
        <w:t>Zásadní připomínka:</w:t>
      </w:r>
    </w:p>
    <w:p w:rsidR="00764202" w:rsidRDefault="00B7554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75545">
        <w:rPr>
          <w:rFonts w:ascii="Arial" w:hAnsi="Arial" w:cs="Arial"/>
          <w:sz w:val="22"/>
          <w:szCs w:val="22"/>
        </w:rPr>
        <w:t>Rovněž Rada postrádá informaci, jak bude reflektováno prodloužení doby trvání programu a navýšení finančních prostředků v rámci očekávaných výsledků a přínosů programu, které z</w:t>
      </w:r>
      <w:r w:rsidR="00C37615">
        <w:rPr>
          <w:rFonts w:ascii="Arial" w:hAnsi="Arial" w:cs="Arial"/>
          <w:sz w:val="22"/>
          <w:szCs w:val="22"/>
        </w:rPr>
        <w:t>ůstávají od roku 2010 nezměněny</w:t>
      </w:r>
      <w:r w:rsidR="00764202">
        <w:rPr>
          <w:rFonts w:ascii="Arial" w:hAnsi="Arial" w:cs="Arial"/>
          <w:sz w:val="22"/>
          <w:szCs w:val="22"/>
        </w:rPr>
        <w:t>.</w:t>
      </w:r>
    </w:p>
    <w:p w:rsidR="00B75545" w:rsidRDefault="00764202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žádá o aktualizaci celkových výsledků a přínosů Programu.</w:t>
      </w:r>
    </w:p>
    <w:p w:rsidR="00B75545" w:rsidRPr="00B75545" w:rsidRDefault="00B75545" w:rsidP="00764202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2"/>
          <w:szCs w:val="22"/>
          <w:u w:val="single"/>
        </w:rPr>
      </w:pPr>
      <w:r w:rsidRPr="00B75545">
        <w:rPr>
          <w:rFonts w:ascii="Arial" w:hAnsi="Arial" w:cs="Arial"/>
          <w:sz w:val="22"/>
          <w:szCs w:val="22"/>
          <w:u w:val="single"/>
        </w:rPr>
        <w:t>Zásadní připomínka:</w:t>
      </w:r>
    </w:p>
    <w:p w:rsidR="00B75545" w:rsidRPr="00B75545" w:rsidRDefault="00B7554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75545">
        <w:rPr>
          <w:rFonts w:ascii="Arial" w:hAnsi="Arial" w:cs="Arial"/>
          <w:sz w:val="22"/>
          <w:szCs w:val="22"/>
        </w:rPr>
        <w:t>V letech 2023-2025 navrhuje poskytovatel celkové výdaje na Program v jednotlivých letech ve výši</w:t>
      </w:r>
      <w:r w:rsidR="002E6D2C">
        <w:rPr>
          <w:rFonts w:ascii="Arial" w:hAnsi="Arial" w:cs="Arial"/>
          <w:sz w:val="22"/>
          <w:szCs w:val="22"/>
        </w:rPr>
        <w:t xml:space="preserve">, jež </w:t>
      </w:r>
      <w:r w:rsidRPr="00B75545">
        <w:rPr>
          <w:rFonts w:ascii="Arial" w:hAnsi="Arial" w:cs="Arial"/>
          <w:sz w:val="22"/>
          <w:szCs w:val="22"/>
        </w:rPr>
        <w:t>zhruba odpovíd</w:t>
      </w:r>
      <w:r w:rsidR="002E6D2C">
        <w:rPr>
          <w:rFonts w:ascii="Arial" w:hAnsi="Arial" w:cs="Arial"/>
          <w:sz w:val="22"/>
          <w:szCs w:val="22"/>
        </w:rPr>
        <w:t>á</w:t>
      </w:r>
      <w:r w:rsidRPr="00B75545">
        <w:rPr>
          <w:rFonts w:ascii="Arial" w:hAnsi="Arial" w:cs="Arial"/>
          <w:sz w:val="22"/>
          <w:szCs w:val="22"/>
        </w:rPr>
        <w:t xml:space="preserve"> návrhu výdajů Rady, který vláda vzala na vědomí svým usnesením ze dne 1. června 2022 č. 452. S ohledem na aktuální situaci se dá očekávat, že finální výše střednědobého výhledu výdajů na </w:t>
      </w:r>
      <w:r w:rsidR="002E6D2C">
        <w:rPr>
          <w:rFonts w:ascii="Arial" w:hAnsi="Arial" w:cs="Arial"/>
          <w:sz w:val="22"/>
          <w:szCs w:val="22"/>
        </w:rPr>
        <w:t>výzkum, vývoj a inovace</w:t>
      </w:r>
      <w:r w:rsidRPr="00B75545">
        <w:rPr>
          <w:rFonts w:ascii="Arial" w:hAnsi="Arial" w:cs="Arial"/>
          <w:sz w:val="22"/>
          <w:szCs w:val="22"/>
        </w:rPr>
        <w:t xml:space="preserve"> na </w:t>
      </w:r>
      <w:r w:rsidR="002E6D2C">
        <w:rPr>
          <w:rFonts w:ascii="Arial" w:hAnsi="Arial" w:cs="Arial"/>
          <w:sz w:val="22"/>
          <w:szCs w:val="22"/>
        </w:rPr>
        <w:t> </w:t>
      </w:r>
      <w:r w:rsidRPr="00B75545">
        <w:rPr>
          <w:rFonts w:ascii="Arial" w:hAnsi="Arial" w:cs="Arial"/>
          <w:sz w:val="22"/>
          <w:szCs w:val="22"/>
        </w:rPr>
        <w:t>vedené roky se bude lišit od návrhu Rady. Rada proto doporučuje poskytovateli zvážit úpravu navrhovaných alokací Programu minimálně v letech 2024-2025, v souladu s</w:t>
      </w:r>
      <w:r w:rsidR="002E6D2C">
        <w:rPr>
          <w:rFonts w:ascii="Arial" w:hAnsi="Arial" w:cs="Arial"/>
          <w:sz w:val="22"/>
          <w:szCs w:val="22"/>
        </w:rPr>
        <w:t> </w:t>
      </w:r>
      <w:r w:rsidRPr="00B75545">
        <w:rPr>
          <w:rFonts w:ascii="Arial" w:hAnsi="Arial" w:cs="Arial"/>
          <w:sz w:val="22"/>
          <w:szCs w:val="22"/>
        </w:rPr>
        <w:t>vládou schváleným návrhem státního rozpočtu na rok 2023 a schválenými střednědobými výhledy na roky 2024 a 2025.</w:t>
      </w:r>
    </w:p>
    <w:p w:rsidR="00B75545" w:rsidRDefault="00B7554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B75545">
        <w:rPr>
          <w:rFonts w:ascii="Arial" w:hAnsi="Arial" w:cs="Arial"/>
          <w:sz w:val="22"/>
          <w:szCs w:val="22"/>
        </w:rPr>
        <w:t>Rada upozorňuje, že schválení Programu a jeho změn vládou nezakládá automaticky nárok na jeho financování ze státního rozpočtu v objemech navržených v Programu.</w:t>
      </w:r>
    </w:p>
    <w:p w:rsidR="005116B5" w:rsidRDefault="005116B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5116B5" w:rsidRDefault="005116B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5116B5" w:rsidRDefault="005116B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5116B5" w:rsidRDefault="005116B5" w:rsidP="002E6D2C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AD68D5" w:rsidRPr="00BA3F02" w:rsidRDefault="00AD68D5" w:rsidP="00C64375">
      <w:pPr>
        <w:pStyle w:val="Odstavecseseznamem"/>
        <w:numPr>
          <w:ilvl w:val="0"/>
          <w:numId w:val="17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BA3F02">
        <w:rPr>
          <w:rFonts w:ascii="Arial" w:hAnsi="Arial" w:cs="Arial"/>
          <w:b/>
          <w:sz w:val="22"/>
          <w:szCs w:val="22"/>
        </w:rPr>
        <w:lastRenderedPageBreak/>
        <w:t>K návrhu usnesení vlády:</w:t>
      </w:r>
    </w:p>
    <w:p w:rsidR="00FD3F99" w:rsidRPr="00BA3F02" w:rsidRDefault="00FD3F99" w:rsidP="00764202">
      <w:pPr>
        <w:pStyle w:val="Zkladntext2"/>
        <w:keepNext/>
        <w:numPr>
          <w:ilvl w:val="0"/>
          <w:numId w:val="22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BA3F02">
        <w:rPr>
          <w:rFonts w:ascii="Arial" w:hAnsi="Arial" w:cs="Arial"/>
          <w:sz w:val="22"/>
          <w:szCs w:val="22"/>
          <w:u w:val="single"/>
        </w:rPr>
        <w:t xml:space="preserve">Zásadní </w:t>
      </w:r>
      <w:r w:rsidR="00C64375" w:rsidRPr="00BA3F02">
        <w:rPr>
          <w:rFonts w:ascii="Arial" w:hAnsi="Arial" w:cs="Arial"/>
          <w:sz w:val="22"/>
          <w:szCs w:val="22"/>
          <w:u w:val="single"/>
        </w:rPr>
        <w:t>připomínka:</w:t>
      </w:r>
    </w:p>
    <w:p w:rsidR="00C64375" w:rsidRPr="0026277C" w:rsidRDefault="00CF0116" w:rsidP="00232F21">
      <w:pPr>
        <w:pStyle w:val="Zkladntext2"/>
        <w:keepNext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26277C">
        <w:rPr>
          <w:rFonts w:ascii="Arial" w:hAnsi="Arial" w:cs="Arial"/>
          <w:sz w:val="22"/>
          <w:szCs w:val="22"/>
        </w:rPr>
        <w:t xml:space="preserve">Rada </w:t>
      </w:r>
      <w:r w:rsidR="00C64375" w:rsidRPr="0026277C">
        <w:rPr>
          <w:rFonts w:ascii="Arial" w:hAnsi="Arial" w:cs="Arial"/>
          <w:sz w:val="22"/>
          <w:szCs w:val="22"/>
        </w:rPr>
        <w:t xml:space="preserve">žádá, aby část I. usnesení vlády byla </w:t>
      </w:r>
      <w:r w:rsidR="008B6EE7" w:rsidRPr="0026277C">
        <w:rPr>
          <w:rFonts w:ascii="Arial" w:hAnsi="Arial" w:cs="Arial"/>
          <w:sz w:val="22"/>
          <w:szCs w:val="22"/>
        </w:rPr>
        <w:t>nahrazena textem:</w:t>
      </w:r>
    </w:p>
    <w:p w:rsidR="00BA3F02" w:rsidRPr="0026277C" w:rsidRDefault="008B6EE7" w:rsidP="0026277C">
      <w:pPr>
        <w:pStyle w:val="StylI"/>
        <w:numPr>
          <w:ilvl w:val="0"/>
          <w:numId w:val="0"/>
        </w:numPr>
        <w:spacing w:before="0" w:after="120"/>
        <w:ind w:left="357"/>
        <w:rPr>
          <w:rFonts w:cs="Arial"/>
          <w:i/>
          <w:lang w:val="cs-CZ"/>
        </w:rPr>
      </w:pPr>
      <w:r w:rsidRPr="0026277C">
        <w:rPr>
          <w:rFonts w:cs="Arial"/>
          <w:b/>
          <w:i/>
          <w:lang w:val="cs-CZ"/>
        </w:rPr>
        <w:t>„</w:t>
      </w:r>
      <w:r w:rsidR="00C64375" w:rsidRPr="0026277C">
        <w:rPr>
          <w:rFonts w:cs="Arial"/>
          <w:b/>
          <w:i/>
          <w:lang w:val="cs-CZ"/>
        </w:rPr>
        <w:t xml:space="preserve">Vláda </w:t>
      </w:r>
      <w:r w:rsidR="00C64375" w:rsidRPr="0026277C">
        <w:rPr>
          <w:rFonts w:cs="Arial"/>
          <w:b/>
          <w:i/>
        </w:rPr>
        <w:t xml:space="preserve">schvaluje </w:t>
      </w:r>
      <w:r w:rsidR="00C64375" w:rsidRPr="0026277C">
        <w:rPr>
          <w:rFonts w:cs="Arial"/>
          <w:i/>
        </w:rPr>
        <w:t>materiál</w:t>
      </w:r>
      <w:r w:rsidR="00C64375" w:rsidRPr="0026277C">
        <w:rPr>
          <w:rFonts w:cs="Arial"/>
          <w:i/>
          <w:lang w:val="cs-CZ"/>
        </w:rPr>
        <w:t xml:space="preserve"> </w:t>
      </w:r>
      <w:r w:rsidR="001223D8" w:rsidRPr="0026277C">
        <w:rPr>
          <w:rFonts w:cs="Arial"/>
          <w:i/>
          <w:lang w:val="cs-CZ"/>
        </w:rPr>
        <w:t>P</w:t>
      </w:r>
      <w:r w:rsidR="00C64375" w:rsidRPr="0026277C">
        <w:rPr>
          <w:rFonts w:cs="Arial"/>
          <w:i/>
          <w:lang w:val="cs-CZ"/>
        </w:rPr>
        <w:t xml:space="preserve">rogram výzkumu, experimentálního vývoje a inovací </w:t>
      </w:r>
      <w:r w:rsidR="00B75545" w:rsidRPr="0026277C">
        <w:rPr>
          <w:rFonts w:cs="Arial"/>
          <w:i/>
          <w:lang w:val="cs-CZ"/>
        </w:rPr>
        <w:t>„</w:t>
      </w:r>
      <w:r w:rsidR="00C64375" w:rsidRPr="0026277C">
        <w:rPr>
          <w:rFonts w:cs="Arial"/>
          <w:i/>
          <w:lang w:val="cs-CZ"/>
        </w:rPr>
        <w:t>ERC CZ</w:t>
      </w:r>
      <w:r w:rsidR="00B75545" w:rsidRPr="0026277C">
        <w:rPr>
          <w:rFonts w:cs="Arial"/>
          <w:i/>
          <w:lang w:val="cs-CZ"/>
        </w:rPr>
        <w:t>“</w:t>
      </w:r>
      <w:r w:rsidR="00C64375" w:rsidRPr="0026277C">
        <w:rPr>
          <w:rFonts w:cs="Arial"/>
          <w:i/>
          <w:lang w:val="cs-CZ"/>
        </w:rPr>
        <w:t>.</w:t>
      </w:r>
    </w:p>
    <w:p w:rsidR="0026277C" w:rsidRPr="0026277C" w:rsidRDefault="00BA3F02" w:rsidP="0026277C">
      <w:pPr>
        <w:pStyle w:val="StylI"/>
        <w:numPr>
          <w:ilvl w:val="0"/>
          <w:numId w:val="0"/>
        </w:numPr>
        <w:spacing w:before="0" w:after="120" w:line="240" w:lineRule="auto"/>
        <w:ind w:left="357"/>
        <w:rPr>
          <w:rFonts w:cs="Arial"/>
          <w:i/>
          <w:lang w:val="cs-CZ"/>
        </w:rPr>
      </w:pPr>
      <w:r w:rsidRPr="0026277C">
        <w:rPr>
          <w:rFonts w:cs="Arial"/>
          <w:i/>
          <w:lang w:val="cs-CZ"/>
        </w:rPr>
        <w:t>Financování</w:t>
      </w:r>
      <w:r w:rsidR="00C64375" w:rsidRPr="0026277C">
        <w:rPr>
          <w:rFonts w:cs="Arial"/>
          <w:i/>
          <w:lang w:val="cs-CZ"/>
        </w:rPr>
        <w:t xml:space="preserve"> </w:t>
      </w:r>
      <w:r w:rsidR="00C64375" w:rsidRPr="0026277C">
        <w:rPr>
          <w:rFonts w:cs="Arial"/>
          <w:i/>
        </w:rPr>
        <w:t xml:space="preserve"> Program</w:t>
      </w:r>
      <w:r w:rsidRPr="0026277C">
        <w:rPr>
          <w:rFonts w:cs="Arial"/>
          <w:i/>
          <w:lang w:val="cs-CZ"/>
        </w:rPr>
        <w:t>u bude zajištěno dle možností státního rozpočtu.</w:t>
      </w:r>
      <w:r w:rsidR="008B6EE7" w:rsidRPr="0026277C">
        <w:rPr>
          <w:rFonts w:cs="Arial"/>
          <w:i/>
          <w:lang w:val="cs-CZ"/>
        </w:rPr>
        <w:t>“</w:t>
      </w:r>
    </w:p>
    <w:p w:rsidR="0026277C" w:rsidRDefault="0026277C" w:rsidP="00764202">
      <w:pPr>
        <w:pStyle w:val="Odstavecseseznamem"/>
        <w:numPr>
          <w:ilvl w:val="0"/>
          <w:numId w:val="22"/>
        </w:numPr>
        <w:spacing w:after="120"/>
        <w:rPr>
          <w:rFonts w:ascii="Arial" w:hAnsi="Arial" w:cs="Arial"/>
          <w:sz w:val="22"/>
          <w:szCs w:val="22"/>
          <w:u w:val="single"/>
        </w:rPr>
      </w:pPr>
      <w:r w:rsidRPr="0026277C">
        <w:rPr>
          <w:rFonts w:ascii="Arial" w:hAnsi="Arial" w:cs="Arial"/>
          <w:sz w:val="22"/>
          <w:szCs w:val="22"/>
          <w:u w:val="single"/>
        </w:rPr>
        <w:t>Doporučení Rady:</w:t>
      </w:r>
    </w:p>
    <w:p w:rsidR="009E2156" w:rsidRPr="009E2156" w:rsidRDefault="0026277C" w:rsidP="00F20115">
      <w:pPr>
        <w:pStyle w:val="Zkladntext2"/>
        <w:keepNext/>
        <w:spacing w:after="120"/>
        <w:ind w:left="357"/>
        <w:jc w:val="both"/>
        <w:rPr>
          <w:rFonts w:ascii="Arial" w:hAnsi="Arial" w:cs="Arial"/>
          <w:sz w:val="22"/>
          <w:szCs w:val="22"/>
        </w:rPr>
      </w:pPr>
      <w:r w:rsidRPr="009E2156">
        <w:rPr>
          <w:rFonts w:ascii="Arial" w:hAnsi="Arial" w:cs="Arial"/>
          <w:sz w:val="22"/>
          <w:szCs w:val="22"/>
        </w:rPr>
        <w:t xml:space="preserve">Rada doporučuje poskytovateli akceptovat Vyjádření KHV, </w:t>
      </w:r>
      <w:r w:rsidR="00F20115" w:rsidRPr="009E2156">
        <w:rPr>
          <w:rFonts w:ascii="Arial" w:hAnsi="Arial" w:cs="Arial"/>
          <w:sz w:val="22"/>
          <w:szCs w:val="22"/>
        </w:rPr>
        <w:t>zejména připomínky k Hodnocení Programu, které by se</w:t>
      </w:r>
      <w:r w:rsidRPr="009E2156">
        <w:rPr>
          <w:rFonts w:ascii="Arial" w:hAnsi="Arial" w:cs="Arial"/>
          <w:sz w:val="22"/>
          <w:szCs w:val="22"/>
        </w:rPr>
        <w:t xml:space="preserve"> </w:t>
      </w:r>
      <w:r w:rsidR="009E2156" w:rsidRPr="009E2156">
        <w:rPr>
          <w:rFonts w:ascii="Arial" w:hAnsi="Arial" w:cs="Arial"/>
          <w:sz w:val="22"/>
          <w:szCs w:val="22"/>
        </w:rPr>
        <w:t>nemělo</w:t>
      </w:r>
      <w:r w:rsidRPr="009E2156">
        <w:rPr>
          <w:rFonts w:ascii="Arial" w:hAnsi="Arial" w:cs="Arial"/>
          <w:sz w:val="22"/>
          <w:szCs w:val="22"/>
        </w:rPr>
        <w:t xml:space="preserve"> zaměřit </w:t>
      </w:r>
      <w:r w:rsidR="00764202">
        <w:rPr>
          <w:rFonts w:ascii="Arial" w:hAnsi="Arial" w:cs="Arial"/>
          <w:sz w:val="22"/>
          <w:szCs w:val="22"/>
        </w:rPr>
        <w:t xml:space="preserve">jen </w:t>
      </w:r>
      <w:r w:rsidR="009E2156" w:rsidRPr="009E2156">
        <w:rPr>
          <w:rFonts w:ascii="Arial" w:hAnsi="Arial" w:cs="Arial"/>
          <w:sz w:val="22"/>
          <w:szCs w:val="22"/>
        </w:rPr>
        <w:t>na celkový</w:t>
      </w:r>
      <w:r w:rsidRPr="009E2156">
        <w:rPr>
          <w:rFonts w:ascii="Arial" w:hAnsi="Arial" w:cs="Arial"/>
          <w:sz w:val="22"/>
          <w:szCs w:val="22"/>
        </w:rPr>
        <w:t xml:space="preserve"> počet výsledků, ale</w:t>
      </w:r>
      <w:r w:rsidR="005116B5">
        <w:rPr>
          <w:rFonts w:ascii="Arial" w:hAnsi="Arial" w:cs="Arial"/>
          <w:sz w:val="22"/>
          <w:szCs w:val="22"/>
        </w:rPr>
        <w:t> </w:t>
      </w:r>
      <w:r w:rsidR="00764202">
        <w:rPr>
          <w:rFonts w:ascii="Arial" w:hAnsi="Arial" w:cs="Arial"/>
          <w:sz w:val="22"/>
          <w:szCs w:val="22"/>
        </w:rPr>
        <w:t>především</w:t>
      </w:r>
      <w:r w:rsidRPr="009E2156">
        <w:rPr>
          <w:rFonts w:ascii="Arial" w:hAnsi="Arial" w:cs="Arial"/>
          <w:sz w:val="22"/>
          <w:szCs w:val="22"/>
        </w:rPr>
        <w:t xml:space="preserve"> na</w:t>
      </w:r>
      <w:r w:rsidR="009E2156">
        <w:rPr>
          <w:rFonts w:ascii="Arial" w:hAnsi="Arial" w:cs="Arial"/>
          <w:sz w:val="22"/>
          <w:szCs w:val="22"/>
        </w:rPr>
        <w:t> </w:t>
      </w:r>
      <w:r w:rsidR="00764202">
        <w:rPr>
          <w:rFonts w:ascii="Arial" w:hAnsi="Arial" w:cs="Arial"/>
          <w:sz w:val="22"/>
          <w:szCs w:val="22"/>
        </w:rPr>
        <w:t>jejich kvalitu.</w:t>
      </w:r>
      <w:r w:rsidR="009E2156" w:rsidRPr="009E2156">
        <w:rPr>
          <w:rFonts w:ascii="Arial" w:hAnsi="Arial" w:cs="Arial"/>
          <w:sz w:val="22"/>
          <w:szCs w:val="22"/>
        </w:rPr>
        <w:t xml:space="preserve"> </w:t>
      </w:r>
    </w:p>
    <w:p w:rsidR="0026277C" w:rsidRPr="0026277C" w:rsidRDefault="0026277C" w:rsidP="0026277C">
      <w:pPr>
        <w:spacing w:after="120"/>
        <w:rPr>
          <w:rFonts w:ascii="Arial" w:hAnsi="Arial" w:cs="Arial"/>
          <w:sz w:val="22"/>
          <w:szCs w:val="22"/>
          <w:u w:val="single"/>
        </w:rPr>
      </w:pPr>
    </w:p>
    <w:p w:rsidR="00017DD9" w:rsidRPr="009E2156" w:rsidRDefault="00BF1715" w:rsidP="0026277C">
      <w:pPr>
        <w:pStyle w:val="StylI"/>
        <w:numPr>
          <w:ilvl w:val="0"/>
          <w:numId w:val="0"/>
        </w:numPr>
        <w:spacing w:after="0"/>
        <w:ind w:left="360"/>
        <w:rPr>
          <w:rFonts w:cs="Arial"/>
          <w:b/>
          <w:color w:val="0070C0"/>
          <w:sz w:val="28"/>
          <w:szCs w:val="28"/>
        </w:rPr>
      </w:pPr>
      <w:r w:rsidRPr="009E2156">
        <w:rPr>
          <w:rFonts w:cs="Arial"/>
          <w:b/>
          <w:color w:val="0070C0"/>
          <w:sz w:val="28"/>
          <w:szCs w:val="28"/>
        </w:rPr>
        <w:t>Závěr</w:t>
      </w:r>
    </w:p>
    <w:p w:rsidR="00017DD9" w:rsidRPr="009E2156" w:rsidRDefault="00017DD9" w:rsidP="00764202">
      <w:pPr>
        <w:pStyle w:val="Odstavecseseznamem"/>
        <w:numPr>
          <w:ilvl w:val="0"/>
          <w:numId w:val="15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E2156">
        <w:rPr>
          <w:rFonts w:ascii="Arial" w:hAnsi="Arial" w:cs="Arial"/>
          <w:sz w:val="22"/>
          <w:szCs w:val="22"/>
        </w:rPr>
        <w:t>Rada schvaluje</w:t>
      </w:r>
      <w:r w:rsidR="00EE6075" w:rsidRPr="009E2156">
        <w:rPr>
          <w:rFonts w:ascii="Arial" w:hAnsi="Arial" w:cs="Arial"/>
          <w:sz w:val="22"/>
          <w:szCs w:val="22"/>
        </w:rPr>
        <w:t xml:space="preserve"> Stanovisko k </w:t>
      </w:r>
      <w:r w:rsidR="00F250BE" w:rsidRPr="009E2156">
        <w:rPr>
          <w:rFonts w:ascii="Arial" w:hAnsi="Arial" w:cs="Arial"/>
          <w:sz w:val="22"/>
          <w:szCs w:val="22"/>
        </w:rPr>
        <w:t>N</w:t>
      </w:r>
      <w:r w:rsidRPr="009E2156">
        <w:rPr>
          <w:rFonts w:ascii="Arial" w:hAnsi="Arial" w:cs="Arial"/>
          <w:sz w:val="22"/>
          <w:szCs w:val="22"/>
        </w:rPr>
        <w:t>ávrh</w:t>
      </w:r>
      <w:r w:rsidR="00EE6075" w:rsidRPr="009E2156">
        <w:rPr>
          <w:rFonts w:ascii="Arial" w:hAnsi="Arial" w:cs="Arial"/>
          <w:sz w:val="22"/>
          <w:szCs w:val="22"/>
        </w:rPr>
        <w:t>u</w:t>
      </w:r>
      <w:r w:rsidR="00F250BE" w:rsidRPr="009E2156">
        <w:rPr>
          <w:rFonts w:ascii="Arial" w:hAnsi="Arial" w:cs="Arial"/>
          <w:sz w:val="22"/>
          <w:szCs w:val="22"/>
        </w:rPr>
        <w:t xml:space="preserve"> na změnu programu na podporu výzkumu, experimentálního vývoje a inovací „ERC CZ“ a žádá poskytovatele o</w:t>
      </w:r>
      <w:r w:rsidR="00426530" w:rsidRPr="009E2156">
        <w:rPr>
          <w:rFonts w:ascii="Arial" w:hAnsi="Arial" w:cs="Arial"/>
          <w:sz w:val="22"/>
          <w:szCs w:val="22"/>
        </w:rPr>
        <w:t> </w:t>
      </w:r>
      <w:r w:rsidR="00F250BE" w:rsidRPr="009E2156">
        <w:rPr>
          <w:rFonts w:ascii="Arial" w:hAnsi="Arial" w:cs="Arial"/>
          <w:sz w:val="22"/>
          <w:szCs w:val="22"/>
        </w:rPr>
        <w:t>zapracování připomínek uvedených v části V</w:t>
      </w:r>
      <w:r w:rsidR="00BA3F02" w:rsidRPr="009E2156">
        <w:rPr>
          <w:rFonts w:ascii="Arial" w:hAnsi="Arial" w:cs="Arial"/>
          <w:sz w:val="22"/>
          <w:szCs w:val="22"/>
        </w:rPr>
        <w:t>I</w:t>
      </w:r>
      <w:r w:rsidR="00F250BE" w:rsidRPr="009E2156">
        <w:rPr>
          <w:rFonts w:ascii="Arial" w:hAnsi="Arial" w:cs="Arial"/>
          <w:sz w:val="22"/>
          <w:szCs w:val="22"/>
        </w:rPr>
        <w:t>. stanoviska před odesláním dokumentu</w:t>
      </w:r>
      <w:r w:rsidRPr="009E2156">
        <w:rPr>
          <w:rFonts w:ascii="Arial" w:hAnsi="Arial" w:cs="Arial"/>
          <w:sz w:val="22"/>
          <w:szCs w:val="22"/>
        </w:rPr>
        <w:t xml:space="preserve"> do</w:t>
      </w:r>
      <w:r w:rsidR="00F250BE" w:rsidRPr="009E2156">
        <w:rPr>
          <w:rFonts w:ascii="Arial" w:hAnsi="Arial" w:cs="Arial"/>
          <w:sz w:val="22"/>
          <w:szCs w:val="22"/>
        </w:rPr>
        <w:t> </w:t>
      </w:r>
      <w:r w:rsidRPr="009E2156">
        <w:rPr>
          <w:rFonts w:ascii="Arial" w:hAnsi="Arial" w:cs="Arial"/>
          <w:sz w:val="22"/>
          <w:szCs w:val="22"/>
        </w:rPr>
        <w:t xml:space="preserve">meziresortního připomínkového řízení, </w:t>
      </w:r>
    </w:p>
    <w:p w:rsidR="00017DD9" w:rsidRPr="009E2156" w:rsidRDefault="00017DD9" w:rsidP="00F250BE">
      <w:pPr>
        <w:pStyle w:val="Odstavecseseznamem1"/>
        <w:keepNext/>
        <w:numPr>
          <w:ilvl w:val="0"/>
          <w:numId w:val="15"/>
        </w:numPr>
        <w:tabs>
          <w:tab w:val="left" w:pos="1260"/>
          <w:tab w:val="left" w:pos="1800"/>
        </w:tabs>
        <w:spacing w:after="120" w:line="240" w:lineRule="auto"/>
        <w:jc w:val="both"/>
        <w:rPr>
          <w:rFonts w:ascii="Arial" w:hAnsi="Arial" w:cs="Arial"/>
        </w:rPr>
      </w:pPr>
      <w:r w:rsidRPr="009E2156">
        <w:rPr>
          <w:rFonts w:ascii="Arial" w:hAnsi="Arial" w:cs="Arial"/>
        </w:rPr>
        <w:t xml:space="preserve">doporučuje vládě </w:t>
      </w:r>
      <w:r w:rsidR="00F250BE" w:rsidRPr="009E2156">
        <w:rPr>
          <w:rFonts w:ascii="Arial" w:hAnsi="Arial" w:cs="Arial"/>
        </w:rPr>
        <w:t>dokument se zapra</w:t>
      </w:r>
      <w:r w:rsidRPr="009E2156">
        <w:rPr>
          <w:rFonts w:ascii="Arial" w:hAnsi="Arial" w:cs="Arial"/>
        </w:rPr>
        <w:t xml:space="preserve">covanými připomínkami schválit. </w:t>
      </w:r>
    </w:p>
    <w:p w:rsidR="00017DD9" w:rsidRPr="009E2156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017DD9" w:rsidRPr="009E2156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017DD9" w:rsidRPr="009E2156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017DD9" w:rsidRPr="009E2156" w:rsidRDefault="00017DD9" w:rsidP="00017DD9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</w:rPr>
      </w:pPr>
    </w:p>
    <w:p w:rsidR="00BA3F02" w:rsidRPr="0037038A" w:rsidRDefault="00017DD9" w:rsidP="00BA3F02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</w:rPr>
      </w:pPr>
      <w:r w:rsidRPr="009E2156">
        <w:rPr>
          <w:rFonts w:ascii="Arial" w:hAnsi="Arial" w:cs="Arial"/>
        </w:rPr>
        <w:t xml:space="preserve">Praha, </w:t>
      </w:r>
      <w:r w:rsidR="00BA3F02" w:rsidRPr="009E2156">
        <w:rPr>
          <w:rFonts w:ascii="Arial" w:hAnsi="Arial" w:cs="Arial"/>
        </w:rPr>
        <w:t>… září 2022</w:t>
      </w:r>
    </w:p>
    <w:p w:rsidR="00BA3F02" w:rsidRDefault="00BA3F02" w:rsidP="00BA3F02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BA3F02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414" w:rsidRDefault="00CA5414" w:rsidP="008F77F6">
      <w:r>
        <w:separator/>
      </w:r>
    </w:p>
  </w:endnote>
  <w:endnote w:type="continuationSeparator" w:id="0">
    <w:p w:rsidR="00CA5414" w:rsidRDefault="00CA541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1C1BCA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Stanovisko Rady pro výzkum, vývoj a inovace k Návrhu na změnu Programu na podporu výzkumu, vývoje a inovací „ERC CZ“      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FBE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FBE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FB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02FBE">
          <w:rPr>
            <w:rFonts w:ascii="Arial" w:hAnsi="Arial" w:cs="Arial"/>
            <w:noProof/>
            <w:sz w:val="18"/>
            <w:szCs w:val="18"/>
          </w:rPr>
          <w:t>5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414" w:rsidRDefault="00CA5414" w:rsidP="008F77F6">
      <w:r>
        <w:separator/>
      </w:r>
    </w:p>
  </w:footnote>
  <w:footnote w:type="continuationSeparator" w:id="0">
    <w:p w:rsidR="00CA5414" w:rsidRDefault="00CA5414" w:rsidP="008F77F6">
      <w:r>
        <w:continuationSeparator/>
      </w:r>
    </w:p>
  </w:footnote>
  <w:footnote w:id="1">
    <w:p w:rsidR="007838F7" w:rsidRPr="000E7B7E" w:rsidRDefault="007838F7" w:rsidP="000E7B7E">
      <w:pPr>
        <w:spacing w:after="120"/>
        <w:ind w:left="360"/>
        <w:jc w:val="both"/>
        <w:rPr>
          <w:rFonts w:ascii="Arial" w:hAnsi="Arial" w:cs="Arial"/>
          <w:sz w:val="16"/>
          <w:szCs w:val="16"/>
        </w:rPr>
      </w:pPr>
      <w:r w:rsidRPr="000E7B7E">
        <w:rPr>
          <w:rStyle w:val="Znakapoznpodarou"/>
          <w:rFonts w:ascii="Arial" w:hAnsi="Arial" w:cs="Arial"/>
          <w:sz w:val="16"/>
          <w:szCs w:val="16"/>
        </w:rPr>
        <w:footnoteRef/>
      </w:r>
      <w:r w:rsidRPr="000E7B7E">
        <w:rPr>
          <w:rFonts w:ascii="Arial" w:hAnsi="Arial" w:cs="Arial"/>
          <w:sz w:val="16"/>
          <w:szCs w:val="16"/>
        </w:rPr>
        <w:t xml:space="preserve"> </w:t>
      </w:r>
      <w:r w:rsidR="000E7B7E" w:rsidRPr="000E7B7E">
        <w:rPr>
          <w:rFonts w:ascii="Arial" w:hAnsi="Arial" w:cs="Arial"/>
          <w:sz w:val="16"/>
          <w:szCs w:val="16"/>
        </w:rPr>
        <w:t>K</w:t>
      </w:r>
      <w:r w:rsidRPr="000E7B7E">
        <w:rPr>
          <w:rFonts w:ascii="Arial" w:hAnsi="Arial" w:cs="Arial"/>
          <w:sz w:val="16"/>
          <w:szCs w:val="16"/>
        </w:rPr>
        <w:t xml:space="preserve">onkrétně se jedná o kategorie </w:t>
      </w:r>
      <w:proofErr w:type="spellStart"/>
      <w:r w:rsidRPr="000E7B7E">
        <w:rPr>
          <w:rFonts w:ascii="Arial" w:hAnsi="Arial" w:cs="Arial"/>
          <w:sz w:val="16"/>
          <w:szCs w:val="16"/>
        </w:rPr>
        <w:t>Starting</w:t>
      </w:r>
      <w:proofErr w:type="spellEnd"/>
      <w:r w:rsidRPr="000E7B7E">
        <w:rPr>
          <w:rFonts w:ascii="Arial" w:hAnsi="Arial" w:cs="Arial"/>
          <w:sz w:val="16"/>
          <w:szCs w:val="16"/>
        </w:rPr>
        <w:t xml:space="preserve"> Grant, </w:t>
      </w:r>
      <w:proofErr w:type="spellStart"/>
      <w:r w:rsidRPr="000E7B7E">
        <w:rPr>
          <w:rFonts w:ascii="Arial" w:hAnsi="Arial" w:cs="Arial"/>
          <w:sz w:val="16"/>
          <w:szCs w:val="16"/>
        </w:rPr>
        <w:t>Advanced</w:t>
      </w:r>
      <w:proofErr w:type="spellEnd"/>
      <w:r w:rsidRPr="000E7B7E">
        <w:rPr>
          <w:rFonts w:ascii="Arial" w:hAnsi="Arial" w:cs="Arial"/>
          <w:sz w:val="16"/>
          <w:szCs w:val="16"/>
        </w:rPr>
        <w:t xml:space="preserve"> Grant, </w:t>
      </w:r>
      <w:proofErr w:type="spellStart"/>
      <w:r w:rsidRPr="000E7B7E">
        <w:rPr>
          <w:rFonts w:ascii="Arial" w:hAnsi="Arial" w:cs="Arial"/>
          <w:sz w:val="16"/>
          <w:szCs w:val="16"/>
        </w:rPr>
        <w:t>Consolidator</w:t>
      </w:r>
      <w:proofErr w:type="spellEnd"/>
      <w:r w:rsidRPr="000E7B7E">
        <w:rPr>
          <w:rFonts w:ascii="Arial" w:hAnsi="Arial" w:cs="Arial"/>
          <w:sz w:val="16"/>
          <w:szCs w:val="16"/>
        </w:rPr>
        <w:t xml:space="preserve"> Grant, </w:t>
      </w:r>
      <w:proofErr w:type="spellStart"/>
      <w:r w:rsidRPr="000E7B7E">
        <w:rPr>
          <w:rFonts w:ascii="Arial" w:hAnsi="Arial" w:cs="Arial"/>
          <w:sz w:val="16"/>
          <w:szCs w:val="16"/>
        </w:rPr>
        <w:t>Synergy</w:t>
      </w:r>
      <w:proofErr w:type="spellEnd"/>
      <w:r w:rsidRPr="000E7B7E">
        <w:rPr>
          <w:rFonts w:ascii="Arial" w:hAnsi="Arial" w:cs="Arial"/>
          <w:sz w:val="16"/>
          <w:szCs w:val="16"/>
        </w:rPr>
        <w:t xml:space="preserve"> Grant a </w:t>
      </w:r>
      <w:proofErr w:type="spellStart"/>
      <w:r w:rsidRPr="000E7B7E">
        <w:rPr>
          <w:rFonts w:ascii="Arial" w:hAnsi="Arial" w:cs="Arial"/>
          <w:sz w:val="16"/>
          <w:szCs w:val="16"/>
        </w:rPr>
        <w:t>Proof</w:t>
      </w:r>
      <w:proofErr w:type="spellEnd"/>
      <w:r w:rsidRPr="000E7B7E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E7B7E">
        <w:rPr>
          <w:rFonts w:ascii="Arial" w:hAnsi="Arial" w:cs="Arial"/>
          <w:sz w:val="16"/>
          <w:szCs w:val="16"/>
        </w:rPr>
        <w:t>of</w:t>
      </w:r>
      <w:proofErr w:type="spellEnd"/>
      <w:r w:rsidRPr="000E7B7E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E7B7E">
        <w:rPr>
          <w:rFonts w:ascii="Arial" w:hAnsi="Arial" w:cs="Arial"/>
          <w:sz w:val="16"/>
          <w:szCs w:val="16"/>
        </w:rPr>
        <w:t>Concept</w:t>
      </w:r>
      <w:proofErr w:type="spellEnd"/>
      <w:r w:rsidRPr="000E7B7E">
        <w:rPr>
          <w:rFonts w:ascii="Arial" w:hAnsi="Arial" w:cs="Arial"/>
          <w:sz w:val="16"/>
          <w:szCs w:val="16"/>
        </w:rPr>
        <w:t>.</w:t>
      </w:r>
    </w:p>
  </w:footnote>
  <w:footnote w:id="2">
    <w:p w:rsidR="003E3A66" w:rsidRPr="009F5416" w:rsidRDefault="003E3A66">
      <w:pPr>
        <w:pStyle w:val="Textpoznpodarou"/>
        <w:rPr>
          <w:rFonts w:ascii="Arial" w:hAnsi="Arial" w:cs="Arial"/>
          <w:sz w:val="16"/>
          <w:szCs w:val="16"/>
        </w:rPr>
      </w:pPr>
      <w:r w:rsidRPr="009F5416">
        <w:rPr>
          <w:rStyle w:val="Znakapoznpodarou"/>
          <w:rFonts w:ascii="Arial" w:hAnsi="Arial" w:cs="Arial"/>
          <w:sz w:val="16"/>
          <w:szCs w:val="16"/>
        </w:rPr>
        <w:footnoteRef/>
      </w:r>
      <w:r w:rsidRPr="009F5416">
        <w:rPr>
          <w:rFonts w:ascii="Arial" w:hAnsi="Arial" w:cs="Arial"/>
          <w:sz w:val="16"/>
          <w:szCs w:val="16"/>
        </w:rPr>
        <w:t xml:space="preserve"> Rok 2012</w:t>
      </w:r>
      <w:r w:rsidR="00AD70B0" w:rsidRPr="009F5416">
        <w:rPr>
          <w:rFonts w:ascii="Arial" w:hAnsi="Arial" w:cs="Arial"/>
          <w:sz w:val="16"/>
          <w:szCs w:val="16"/>
        </w:rPr>
        <w:t xml:space="preserve"> poskytovatel </w:t>
      </w:r>
      <w:r w:rsidRPr="009F5416">
        <w:rPr>
          <w:rFonts w:ascii="Arial" w:hAnsi="Arial" w:cs="Arial"/>
          <w:sz w:val="16"/>
          <w:szCs w:val="16"/>
        </w:rPr>
        <w:t>uvádí jako začátek trvání Programu proto, že jednotlivé projekty jsou podporovány od</w:t>
      </w:r>
      <w:r w:rsidR="00AD70B0" w:rsidRPr="009F5416">
        <w:rPr>
          <w:rFonts w:ascii="Arial" w:hAnsi="Arial" w:cs="Arial"/>
          <w:sz w:val="16"/>
          <w:szCs w:val="16"/>
        </w:rPr>
        <w:t> </w:t>
      </w:r>
      <w:r w:rsidRPr="009F5416">
        <w:rPr>
          <w:rFonts w:ascii="Arial" w:hAnsi="Arial" w:cs="Arial"/>
          <w:sz w:val="16"/>
          <w:szCs w:val="16"/>
        </w:rPr>
        <w:t>roku 2012.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99FA700" wp14:editId="7CD6B46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5D07A311" wp14:editId="0907B2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482602" w:rsidP="00F76FD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27405">
            <w:rPr>
              <w:rFonts w:ascii="Arial" w:hAnsi="Arial" w:cs="Arial"/>
              <w:b/>
              <w:color w:val="0070C0"/>
              <w:sz w:val="28"/>
              <w:szCs w:val="28"/>
            </w:rPr>
            <w:t>82</w:t>
          </w:r>
          <w:r w:rsidR="009758E5"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B27405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AD413F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F76FDC">
            <w:rPr>
              <w:rFonts w:ascii="Arial" w:hAnsi="Arial" w:cs="Arial"/>
              <w:b/>
              <w:color w:val="0070C0"/>
              <w:sz w:val="28"/>
              <w:szCs w:val="28"/>
            </w:rPr>
            <w:t>0</w:t>
          </w:r>
        </w:p>
      </w:tc>
    </w:tr>
  </w:tbl>
  <w:p w:rsidR="00CC370F" w:rsidRDefault="00CC370F">
    <w:pPr>
      <w:pStyle w:val="Zhlav"/>
    </w:pPr>
  </w:p>
  <w:p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2B88"/>
    <w:multiLevelType w:val="hybridMultilevel"/>
    <w:tmpl w:val="C71E419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25515203"/>
    <w:multiLevelType w:val="hybridMultilevel"/>
    <w:tmpl w:val="955EAB5C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C430C90"/>
    <w:multiLevelType w:val="multilevel"/>
    <w:tmpl w:val="DAE63B5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8921E4"/>
    <w:multiLevelType w:val="hybridMultilevel"/>
    <w:tmpl w:val="7F821EB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A1254FF"/>
    <w:multiLevelType w:val="hybridMultilevel"/>
    <w:tmpl w:val="FC6E96EA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5A90809"/>
    <w:multiLevelType w:val="hybridMultilevel"/>
    <w:tmpl w:val="FFEA7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52BDF"/>
    <w:multiLevelType w:val="hybridMultilevel"/>
    <w:tmpl w:val="144ACB9E"/>
    <w:lvl w:ilvl="0" w:tplc="12E64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3671086"/>
    <w:multiLevelType w:val="multilevel"/>
    <w:tmpl w:val="DAE63B54"/>
    <w:numStyleLink w:val="StylI-aa"/>
  </w:abstractNum>
  <w:abstractNum w:abstractNumId="21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9"/>
  </w:num>
  <w:num w:numId="7">
    <w:abstractNumId w:val="4"/>
  </w:num>
  <w:num w:numId="8">
    <w:abstractNumId w:val="8"/>
  </w:num>
  <w:num w:numId="9">
    <w:abstractNumId w:val="18"/>
  </w:num>
  <w:num w:numId="10">
    <w:abstractNumId w:val="17"/>
  </w:num>
  <w:num w:numId="11">
    <w:abstractNumId w:val="21"/>
  </w:num>
  <w:num w:numId="12">
    <w:abstractNumId w:val="5"/>
  </w:num>
  <w:num w:numId="13">
    <w:abstractNumId w:val="3"/>
  </w:num>
  <w:num w:numId="14">
    <w:abstractNumId w:val="2"/>
  </w:num>
  <w:num w:numId="15">
    <w:abstractNumId w:val="11"/>
  </w:num>
  <w:num w:numId="16">
    <w:abstractNumId w:val="13"/>
  </w:num>
  <w:num w:numId="17">
    <w:abstractNumId w:val="7"/>
  </w:num>
  <w:num w:numId="18">
    <w:abstractNumId w:val="20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1074" w:hanging="36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24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146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1218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1362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6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50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5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8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34" w:hanging="1440"/>
        </w:pPr>
        <w:rPr>
          <w:rFonts w:hint="default"/>
        </w:rPr>
      </w:lvl>
    </w:lvlOverride>
  </w:num>
  <w:num w:numId="20">
    <w:abstractNumId w:val="16"/>
  </w:num>
  <w:num w:numId="21">
    <w:abstractNumId w:val="9"/>
  </w:num>
  <w:num w:numId="22">
    <w:abstractNumId w:val="1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100"/>
    <w:rsid w:val="000121AC"/>
    <w:rsid w:val="00017DD9"/>
    <w:rsid w:val="00027A0F"/>
    <w:rsid w:val="00057A10"/>
    <w:rsid w:val="000B01EA"/>
    <w:rsid w:val="000C4A33"/>
    <w:rsid w:val="000D3E70"/>
    <w:rsid w:val="000E33B8"/>
    <w:rsid w:val="000E7B7E"/>
    <w:rsid w:val="00106570"/>
    <w:rsid w:val="00116145"/>
    <w:rsid w:val="001223D8"/>
    <w:rsid w:val="001249D9"/>
    <w:rsid w:val="001441D8"/>
    <w:rsid w:val="00154A10"/>
    <w:rsid w:val="0016183E"/>
    <w:rsid w:val="001958A4"/>
    <w:rsid w:val="001A7212"/>
    <w:rsid w:val="001B0562"/>
    <w:rsid w:val="001C1BCA"/>
    <w:rsid w:val="001D278E"/>
    <w:rsid w:val="001E26B9"/>
    <w:rsid w:val="001E38C7"/>
    <w:rsid w:val="001E518C"/>
    <w:rsid w:val="00201426"/>
    <w:rsid w:val="002109AB"/>
    <w:rsid w:val="00232F21"/>
    <w:rsid w:val="00237006"/>
    <w:rsid w:val="0023719A"/>
    <w:rsid w:val="0026277C"/>
    <w:rsid w:val="0026521D"/>
    <w:rsid w:val="00265A36"/>
    <w:rsid w:val="00296CCF"/>
    <w:rsid w:val="002A1361"/>
    <w:rsid w:val="002B1A47"/>
    <w:rsid w:val="002E2591"/>
    <w:rsid w:val="002E6D2C"/>
    <w:rsid w:val="00317CFF"/>
    <w:rsid w:val="00324CD0"/>
    <w:rsid w:val="00341A14"/>
    <w:rsid w:val="00360293"/>
    <w:rsid w:val="0036036A"/>
    <w:rsid w:val="00367FC4"/>
    <w:rsid w:val="0037038A"/>
    <w:rsid w:val="00386056"/>
    <w:rsid w:val="00387B05"/>
    <w:rsid w:val="003C2207"/>
    <w:rsid w:val="003C2A8E"/>
    <w:rsid w:val="003C40FE"/>
    <w:rsid w:val="003E3A66"/>
    <w:rsid w:val="003F2EE0"/>
    <w:rsid w:val="0040468E"/>
    <w:rsid w:val="00426530"/>
    <w:rsid w:val="00452DFC"/>
    <w:rsid w:val="00460435"/>
    <w:rsid w:val="00482602"/>
    <w:rsid w:val="00492346"/>
    <w:rsid w:val="004D2D6C"/>
    <w:rsid w:val="004F7DAB"/>
    <w:rsid w:val="00503FF7"/>
    <w:rsid w:val="00505092"/>
    <w:rsid w:val="005116B5"/>
    <w:rsid w:val="00516652"/>
    <w:rsid w:val="005257D1"/>
    <w:rsid w:val="00571676"/>
    <w:rsid w:val="005D26B3"/>
    <w:rsid w:val="005E43C2"/>
    <w:rsid w:val="00601FDA"/>
    <w:rsid w:val="00610729"/>
    <w:rsid w:val="00616978"/>
    <w:rsid w:val="0062447C"/>
    <w:rsid w:val="00645780"/>
    <w:rsid w:val="00662D90"/>
    <w:rsid w:val="006A34F8"/>
    <w:rsid w:val="006B0722"/>
    <w:rsid w:val="006B31DD"/>
    <w:rsid w:val="006D3311"/>
    <w:rsid w:val="006E40D8"/>
    <w:rsid w:val="006F43DD"/>
    <w:rsid w:val="00715F0F"/>
    <w:rsid w:val="00720790"/>
    <w:rsid w:val="00734EE9"/>
    <w:rsid w:val="007608EC"/>
    <w:rsid w:val="007639F4"/>
    <w:rsid w:val="00764202"/>
    <w:rsid w:val="007838F7"/>
    <w:rsid w:val="007B4FAD"/>
    <w:rsid w:val="007D64A5"/>
    <w:rsid w:val="007E65F4"/>
    <w:rsid w:val="00810AA0"/>
    <w:rsid w:val="00822F5B"/>
    <w:rsid w:val="008349FB"/>
    <w:rsid w:val="008449B6"/>
    <w:rsid w:val="0084795D"/>
    <w:rsid w:val="008659F2"/>
    <w:rsid w:val="00876F98"/>
    <w:rsid w:val="008B6EE7"/>
    <w:rsid w:val="008D0383"/>
    <w:rsid w:val="008E5537"/>
    <w:rsid w:val="008F2B28"/>
    <w:rsid w:val="008F566B"/>
    <w:rsid w:val="008F77F6"/>
    <w:rsid w:val="009035D5"/>
    <w:rsid w:val="0093483B"/>
    <w:rsid w:val="00942CEA"/>
    <w:rsid w:val="0095777C"/>
    <w:rsid w:val="009758E5"/>
    <w:rsid w:val="009A085D"/>
    <w:rsid w:val="009E2156"/>
    <w:rsid w:val="009F5416"/>
    <w:rsid w:val="00A3472F"/>
    <w:rsid w:val="00A513E5"/>
    <w:rsid w:val="00A57291"/>
    <w:rsid w:val="00A90CE7"/>
    <w:rsid w:val="00A92BF6"/>
    <w:rsid w:val="00A97A8C"/>
    <w:rsid w:val="00AA6A69"/>
    <w:rsid w:val="00AD413F"/>
    <w:rsid w:val="00AD5458"/>
    <w:rsid w:val="00AD68D5"/>
    <w:rsid w:val="00AD70B0"/>
    <w:rsid w:val="00AE772A"/>
    <w:rsid w:val="00AE795F"/>
    <w:rsid w:val="00B025F8"/>
    <w:rsid w:val="00B02709"/>
    <w:rsid w:val="00B16526"/>
    <w:rsid w:val="00B26656"/>
    <w:rsid w:val="00B27405"/>
    <w:rsid w:val="00B75545"/>
    <w:rsid w:val="00B96973"/>
    <w:rsid w:val="00BA3F02"/>
    <w:rsid w:val="00BA6EE3"/>
    <w:rsid w:val="00BD70D7"/>
    <w:rsid w:val="00BD7C77"/>
    <w:rsid w:val="00BF1715"/>
    <w:rsid w:val="00C02FBE"/>
    <w:rsid w:val="00C37615"/>
    <w:rsid w:val="00C50430"/>
    <w:rsid w:val="00C64375"/>
    <w:rsid w:val="00CA5414"/>
    <w:rsid w:val="00CB6996"/>
    <w:rsid w:val="00CC370F"/>
    <w:rsid w:val="00CD72F6"/>
    <w:rsid w:val="00CF0116"/>
    <w:rsid w:val="00CF4C80"/>
    <w:rsid w:val="00D32F51"/>
    <w:rsid w:val="00D34C62"/>
    <w:rsid w:val="00D41A7D"/>
    <w:rsid w:val="00D76337"/>
    <w:rsid w:val="00D76F53"/>
    <w:rsid w:val="00DA3F29"/>
    <w:rsid w:val="00DC5FE9"/>
    <w:rsid w:val="00E42695"/>
    <w:rsid w:val="00E57AEA"/>
    <w:rsid w:val="00E7659E"/>
    <w:rsid w:val="00E82C93"/>
    <w:rsid w:val="00E90863"/>
    <w:rsid w:val="00EE33FB"/>
    <w:rsid w:val="00EE4843"/>
    <w:rsid w:val="00EE6075"/>
    <w:rsid w:val="00F06747"/>
    <w:rsid w:val="00F069EC"/>
    <w:rsid w:val="00F20115"/>
    <w:rsid w:val="00F250BE"/>
    <w:rsid w:val="00F4222F"/>
    <w:rsid w:val="00F643B7"/>
    <w:rsid w:val="00F65F3A"/>
    <w:rsid w:val="00F76FDC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E617FE"/>
  <w15:docId w15:val="{D545119C-BDD6-49FD-B756-C478CCF8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3A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3A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E3A66"/>
    <w:rPr>
      <w:vertAlign w:val="superscript"/>
    </w:rPr>
  </w:style>
  <w:style w:type="numbering" w:customStyle="1" w:styleId="StylI-aa">
    <w:name w:val="Styl I-aa)"/>
    <w:uiPriority w:val="99"/>
    <w:rsid w:val="00C64375"/>
    <w:pPr>
      <w:numPr>
        <w:numId w:val="21"/>
      </w:numPr>
    </w:pPr>
  </w:style>
  <w:style w:type="paragraph" w:customStyle="1" w:styleId="StylI">
    <w:name w:val="Styl I."/>
    <w:link w:val="StylIChar"/>
    <w:qFormat/>
    <w:rsid w:val="00C64375"/>
    <w:pPr>
      <w:numPr>
        <w:numId w:val="19"/>
      </w:numPr>
      <w:spacing w:before="120" w:after="240"/>
      <w:ind w:left="360"/>
      <w:jc w:val="both"/>
    </w:pPr>
    <w:rPr>
      <w:rFonts w:ascii="Arial" w:eastAsia="Calibri" w:hAnsi="Arial" w:cs="Times New Roman"/>
      <w:lang w:val="x-none"/>
    </w:rPr>
  </w:style>
  <w:style w:type="character" w:customStyle="1" w:styleId="StylIChar">
    <w:name w:val="Styl I. Char"/>
    <w:link w:val="StylI"/>
    <w:rsid w:val="00C64375"/>
    <w:rPr>
      <w:rFonts w:ascii="Arial" w:eastAsia="Calibri" w:hAnsi="Arial" w:cs="Times New Roman"/>
      <w:lang w:val="x-none"/>
    </w:rPr>
  </w:style>
  <w:style w:type="paragraph" w:customStyle="1" w:styleId="Stylaa">
    <w:name w:val="Styl aa)"/>
    <w:qFormat/>
    <w:rsid w:val="00C64375"/>
    <w:pPr>
      <w:numPr>
        <w:ilvl w:val="3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paragraph" w:customStyle="1" w:styleId="Styla">
    <w:name w:val="Styl a)"/>
    <w:qFormat/>
    <w:rsid w:val="00C64375"/>
    <w:pPr>
      <w:numPr>
        <w:ilvl w:val="2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table" w:styleId="Barevnseznamzvraznn1">
    <w:name w:val="Colorful List Accent 1"/>
    <w:basedOn w:val="Normlntabulka"/>
    <w:uiPriority w:val="72"/>
    <w:semiHidden/>
    <w:unhideWhenUsed/>
    <w:rsid w:val="00C6437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A3BA4-BD99-4229-9CF4-97D7C01E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1581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Lysý Petr</cp:lastModifiedBy>
  <cp:revision>5</cp:revision>
  <cp:lastPrinted>2022-09-16T05:06:00Z</cp:lastPrinted>
  <dcterms:created xsi:type="dcterms:W3CDTF">2022-09-13T13:14:00Z</dcterms:created>
  <dcterms:modified xsi:type="dcterms:W3CDTF">2022-09-16T10:47:00Z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